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0F30" w14:textId="77777777" w:rsidR="00F45CAF" w:rsidRPr="00EE31F1" w:rsidRDefault="00F45CAF" w:rsidP="00F45CAF">
      <w:pPr>
        <w:pStyle w:val="Normale1"/>
        <w:rPr>
          <w:rFonts w:ascii="Times New Roman" w:hAnsi="Times New Roman" w:cs="Times New Roman"/>
        </w:rPr>
      </w:pPr>
    </w:p>
    <w:p w14:paraId="79844ACC" w14:textId="77777777" w:rsidR="00F45CAF" w:rsidRDefault="00F45CAF" w:rsidP="00F45CAF">
      <w:pPr>
        <w:pStyle w:val="Normale1"/>
        <w:rPr>
          <w:rFonts w:ascii="Times New Roman" w:hAnsi="Times New Roman" w:cs="Times New Roman"/>
        </w:rPr>
      </w:pPr>
      <w:r w:rsidRPr="00EF055F">
        <w:rPr>
          <w:rFonts w:ascii="Times New Roman" w:hAnsi="Times New Roman" w:cs="Times New Roman"/>
        </w:rPr>
        <w:t>Deep neck infections</w:t>
      </w:r>
      <w:r>
        <w:rPr>
          <w:rFonts w:ascii="Times New Roman" w:hAnsi="Times New Roman" w:cs="Times New Roman"/>
        </w:rPr>
        <w:t xml:space="preserve">: a review of 124 patients </w:t>
      </w:r>
      <w:proofErr w:type="gramStart"/>
      <w:r>
        <w:rPr>
          <w:rFonts w:ascii="Times New Roman" w:hAnsi="Times New Roman" w:cs="Times New Roman"/>
        </w:rPr>
        <w:t xml:space="preserve">and </w:t>
      </w:r>
      <w:r w:rsidRPr="00EF055F">
        <w:rPr>
          <w:rFonts w:ascii="Times New Roman" w:hAnsi="Times New Roman" w:cs="Times New Roman"/>
        </w:rPr>
        <w:t xml:space="preserve"> </w:t>
      </w:r>
      <w:r>
        <w:rPr>
          <w:rFonts w:ascii="Times New Roman" w:hAnsi="Times New Roman" w:cs="Times New Roman"/>
        </w:rPr>
        <w:t>l</w:t>
      </w:r>
      <w:r w:rsidRPr="00EF055F">
        <w:rPr>
          <w:rFonts w:ascii="Times New Roman" w:hAnsi="Times New Roman" w:cs="Times New Roman"/>
        </w:rPr>
        <w:t>ong</w:t>
      </w:r>
      <w:proofErr w:type="gramEnd"/>
      <w:r w:rsidRPr="00EF055F">
        <w:rPr>
          <w:rFonts w:ascii="Times New Roman" w:hAnsi="Times New Roman" w:cs="Times New Roman"/>
        </w:rPr>
        <w:t>-</w:t>
      </w:r>
      <w:r>
        <w:rPr>
          <w:rFonts w:ascii="Times New Roman" w:hAnsi="Times New Roman" w:cs="Times New Roman"/>
        </w:rPr>
        <w:t>t</w:t>
      </w:r>
      <w:r w:rsidRPr="00EF055F">
        <w:rPr>
          <w:rFonts w:ascii="Times New Roman" w:hAnsi="Times New Roman" w:cs="Times New Roman"/>
        </w:rPr>
        <w:t>erm Outcome</w:t>
      </w:r>
    </w:p>
    <w:p w14:paraId="6336744F" w14:textId="77777777" w:rsidR="00F45CAF" w:rsidRDefault="00F45CAF" w:rsidP="00F45CAF">
      <w:pPr>
        <w:pStyle w:val="Normale1"/>
        <w:rPr>
          <w:rFonts w:ascii="Times New Roman" w:hAnsi="Times New Roman" w:cs="Times New Roman"/>
        </w:rPr>
      </w:pPr>
    </w:p>
    <w:p w14:paraId="3B18F2CF" w14:textId="77777777" w:rsidR="00F45CAF" w:rsidRDefault="00F45CAF" w:rsidP="00F45CAF">
      <w:pPr>
        <w:pStyle w:val="Normale1"/>
        <w:rPr>
          <w:rFonts w:ascii="Times New Roman" w:hAnsi="Times New Roman" w:cs="Times New Roman"/>
        </w:rPr>
      </w:pPr>
    </w:p>
    <w:p w14:paraId="4727CF8F" w14:textId="77777777" w:rsidR="00F45CAF" w:rsidRPr="00E92ADD" w:rsidRDefault="00F45CAF" w:rsidP="00F45CAF">
      <w:pPr>
        <w:pStyle w:val="Normale1"/>
        <w:jc w:val="both"/>
        <w:rPr>
          <w:rFonts w:ascii="Times New Roman" w:hAnsi="Times New Roman" w:cs="Times New Roman"/>
        </w:rPr>
      </w:pPr>
      <w:r w:rsidRPr="00E92ADD">
        <w:rPr>
          <w:rFonts w:ascii="Times New Roman" w:hAnsi="Times New Roman" w:cs="Times New Roman"/>
        </w:rPr>
        <w:t>Deep neck space infections (DNI) are one of the most common head and neck surgery emergencies.  They are defined as bacterial infections within the neck localized in the spaces comprised between the layer of the deep cervical fascia.  (</w:t>
      </w:r>
      <w:proofErr w:type="gramStart"/>
      <w:r w:rsidRPr="00E92ADD">
        <w:rPr>
          <w:rFonts w:ascii="Times New Roman" w:hAnsi="Times New Roman" w:cs="Times New Roman"/>
        </w:rPr>
        <w:t>superficial</w:t>
      </w:r>
      <w:proofErr w:type="gramEnd"/>
      <w:r w:rsidRPr="00E92ADD">
        <w:rPr>
          <w:rFonts w:ascii="Times New Roman" w:hAnsi="Times New Roman" w:cs="Times New Roman"/>
        </w:rPr>
        <w:t xml:space="preserve">, middle (visceral), and deep layers). </w:t>
      </w:r>
    </w:p>
    <w:p w14:paraId="5D526B0D" w14:textId="77777777" w:rsidR="00F45CAF" w:rsidRPr="00E92ADD" w:rsidRDefault="00F45CAF" w:rsidP="00F45CAF">
      <w:pPr>
        <w:pStyle w:val="Normale1"/>
        <w:jc w:val="both"/>
        <w:rPr>
          <w:rFonts w:ascii="Times New Roman" w:hAnsi="Times New Roman" w:cs="Times New Roman"/>
        </w:rPr>
      </w:pPr>
      <w:r w:rsidRPr="00E92ADD">
        <w:rPr>
          <w:rFonts w:ascii="Times New Roman" w:hAnsi="Times New Roman" w:cs="Times New Roman"/>
        </w:rPr>
        <w:t>Even if the use of large-spectrum antibiotics and the improvement of dental hygiene seems to have diminished the cases compared to the past, some reports show that their incidence might be rising (Berger 2003, Lau 2014) and currently their incidence is reported to be between 9 and15/100,000 yearly (</w:t>
      </w:r>
      <w:proofErr w:type="spellStart"/>
      <w:r w:rsidRPr="00E92ADD">
        <w:rPr>
          <w:rFonts w:ascii="Times New Roman" w:hAnsi="Times New Roman" w:cs="Times New Roman"/>
        </w:rPr>
        <w:t>boscolo</w:t>
      </w:r>
      <w:proofErr w:type="spellEnd"/>
      <w:r w:rsidRPr="00E92ADD">
        <w:rPr>
          <w:rFonts w:ascii="Times New Roman" w:hAnsi="Times New Roman" w:cs="Times New Roman"/>
        </w:rPr>
        <w:t xml:space="preserve"> </w:t>
      </w:r>
      <w:proofErr w:type="spellStart"/>
      <w:r w:rsidRPr="00E92ADD">
        <w:rPr>
          <w:rFonts w:ascii="Times New Roman" w:hAnsi="Times New Roman" w:cs="Times New Roman"/>
        </w:rPr>
        <w:t>rizzo</w:t>
      </w:r>
      <w:proofErr w:type="spellEnd"/>
      <w:r w:rsidRPr="00E92ADD">
        <w:rPr>
          <w:rFonts w:ascii="Times New Roman" w:hAnsi="Times New Roman" w:cs="Times New Roman"/>
        </w:rPr>
        <w:t>).</w:t>
      </w:r>
    </w:p>
    <w:p w14:paraId="3DE1C437" w14:textId="77777777" w:rsidR="00F45CAF" w:rsidRPr="00E92ADD" w:rsidRDefault="00F45CAF" w:rsidP="00F45CAF">
      <w:pPr>
        <w:pStyle w:val="Normale1"/>
        <w:jc w:val="both"/>
        <w:rPr>
          <w:rFonts w:ascii="Times New Roman" w:hAnsi="Times New Roman" w:cs="Times New Roman"/>
        </w:rPr>
      </w:pPr>
      <w:r w:rsidRPr="00E92ADD">
        <w:rPr>
          <w:rFonts w:ascii="Times New Roman" w:hAnsi="Times New Roman" w:cs="Times New Roman"/>
        </w:rPr>
        <w:t xml:space="preserve">Improved diagnostic techniques and early hospital-based management have diminished the complication incidence of DNI, which include potentially life-threatening morbidities such as mediastinitis, laryngeal edema, pericarditis, jugular vein thrombosis, or arterial erosion. Management of DNI is still debated and can be based on prompt surgical drainage of pus collection when this is present, or medical treatment followed by surgical drainage if there is no adequate response (Plaza Mayor 2001). </w:t>
      </w:r>
    </w:p>
    <w:p w14:paraId="19313A70" w14:textId="77777777" w:rsidR="00F45CAF" w:rsidRPr="00E92ADD" w:rsidRDefault="00F45CAF" w:rsidP="00F45CAF">
      <w:pPr>
        <w:pStyle w:val="Normale1"/>
        <w:jc w:val="both"/>
        <w:rPr>
          <w:rFonts w:ascii="Times New Roman" w:hAnsi="Times New Roman" w:cs="Times New Roman"/>
        </w:rPr>
      </w:pPr>
      <w:r w:rsidRPr="00E92ADD">
        <w:rPr>
          <w:rFonts w:ascii="Times New Roman" w:hAnsi="Times New Roman" w:cs="Times New Roman"/>
        </w:rPr>
        <w:t xml:space="preserve">Moreover, even if there are numerous studies on the management and causes of </w:t>
      </w:r>
      <w:proofErr w:type="gramStart"/>
      <w:r w:rsidRPr="00E92ADD">
        <w:rPr>
          <w:rFonts w:ascii="Times New Roman" w:hAnsi="Times New Roman" w:cs="Times New Roman"/>
        </w:rPr>
        <w:t>a large number of</w:t>
      </w:r>
      <w:proofErr w:type="gramEnd"/>
      <w:r w:rsidRPr="00E92ADD">
        <w:rPr>
          <w:rFonts w:ascii="Times New Roman" w:hAnsi="Times New Roman" w:cs="Times New Roman"/>
        </w:rPr>
        <w:t xml:space="preserve"> DNI cases (Supreet 2019, Bakir 2010) there are no reports focusing on long-term follow-up and potential long-term complications due to the infection or surgical intervention.</w:t>
      </w:r>
    </w:p>
    <w:p w14:paraId="109BA6F8" w14:textId="77777777" w:rsidR="00F45CAF" w:rsidRDefault="00F45CAF" w:rsidP="00F45CAF">
      <w:pPr>
        <w:pStyle w:val="Normale1"/>
        <w:jc w:val="both"/>
        <w:rPr>
          <w:rFonts w:ascii="Times New Roman" w:hAnsi="Times New Roman" w:cs="Times New Roman"/>
        </w:rPr>
      </w:pPr>
      <w:r w:rsidRPr="00E92ADD">
        <w:rPr>
          <w:rFonts w:ascii="Times New Roman" w:hAnsi="Times New Roman" w:cs="Times New Roman"/>
        </w:rPr>
        <w:t>The aim of this study was to review our experience in the surgical management of DNI, assess the possible characteristics that can lead to a more severe presentation or prognosis, and assess the frequency and impact of long-term sequelae.</w:t>
      </w:r>
    </w:p>
    <w:p w14:paraId="3E612820" w14:textId="77777777" w:rsidR="00F45CAF" w:rsidRDefault="00F45CAF" w:rsidP="00F45CAF">
      <w:pPr>
        <w:pStyle w:val="Normale1"/>
        <w:jc w:val="both"/>
        <w:rPr>
          <w:rFonts w:ascii="Times New Roman" w:hAnsi="Times New Roman" w:cs="Times New Roman"/>
        </w:rPr>
      </w:pPr>
    </w:p>
    <w:p w14:paraId="304D17A9" w14:textId="77777777" w:rsidR="00F45CAF" w:rsidRDefault="00F45CAF" w:rsidP="00F45CAF">
      <w:pPr>
        <w:pStyle w:val="Normale1"/>
        <w:rPr>
          <w:rFonts w:ascii="Times New Roman" w:hAnsi="Times New Roman" w:cs="Times New Roman"/>
        </w:rPr>
      </w:pPr>
    </w:p>
    <w:p w14:paraId="1891858A" w14:textId="77777777" w:rsidR="00F45CAF" w:rsidRDefault="00F45CAF" w:rsidP="00F45CAF">
      <w:pPr>
        <w:pStyle w:val="Normale1"/>
        <w:rPr>
          <w:rFonts w:ascii="Times New Roman" w:hAnsi="Times New Roman" w:cs="Times New Roman"/>
        </w:rPr>
      </w:pPr>
      <w:r>
        <w:rPr>
          <w:rFonts w:ascii="Times New Roman" w:hAnsi="Times New Roman" w:cs="Times New Roman"/>
        </w:rPr>
        <w:t>MATERIALS AND METHODS</w:t>
      </w:r>
    </w:p>
    <w:p w14:paraId="21BCBC20" w14:textId="77777777" w:rsidR="00F45CAF" w:rsidRDefault="00F45CAF" w:rsidP="00F45CAF">
      <w:pPr>
        <w:pStyle w:val="Normale1"/>
        <w:rPr>
          <w:rFonts w:ascii="Times New Roman" w:hAnsi="Times New Roman" w:cs="Times New Roman"/>
          <w:i/>
        </w:rPr>
      </w:pPr>
    </w:p>
    <w:p w14:paraId="6089EBEB" w14:textId="77777777" w:rsidR="00F45CAF" w:rsidRDefault="00F45CAF" w:rsidP="00F45CAF">
      <w:pPr>
        <w:pStyle w:val="Normale1"/>
        <w:jc w:val="both"/>
        <w:rPr>
          <w:rFonts w:ascii="Times New Roman" w:hAnsi="Times New Roman" w:cs="Times New Roman"/>
          <w:i/>
        </w:rPr>
      </w:pPr>
      <w:r>
        <w:rPr>
          <w:rFonts w:ascii="Times New Roman" w:hAnsi="Times New Roman" w:cs="Times New Roman"/>
          <w:i/>
        </w:rPr>
        <w:t xml:space="preserve">Study design </w:t>
      </w:r>
    </w:p>
    <w:p w14:paraId="262C7D79" w14:textId="77777777" w:rsidR="00F45CAF" w:rsidRDefault="00F45CAF" w:rsidP="00F45CAF">
      <w:pPr>
        <w:pStyle w:val="Normale1"/>
        <w:jc w:val="both"/>
        <w:rPr>
          <w:rFonts w:ascii="Times New Roman" w:hAnsi="Times New Roman" w:cs="Times New Roman"/>
        </w:rPr>
      </w:pPr>
      <w:r>
        <w:rPr>
          <w:rFonts w:ascii="Times New Roman" w:hAnsi="Times New Roman" w:cs="Times New Roman"/>
        </w:rPr>
        <w:t xml:space="preserve">The study design was a hybrid design with two components: a retrospective chart review and a prospective survey. </w:t>
      </w:r>
    </w:p>
    <w:p w14:paraId="13D66267" w14:textId="77777777" w:rsidR="00F45CAF" w:rsidRDefault="00F45CAF" w:rsidP="00F45CAF">
      <w:pPr>
        <w:pStyle w:val="Normale1"/>
        <w:jc w:val="both"/>
        <w:rPr>
          <w:rFonts w:ascii="Times New Roman" w:hAnsi="Times New Roman" w:cs="Times New Roman"/>
        </w:rPr>
      </w:pPr>
    </w:p>
    <w:p w14:paraId="2289BBEC" w14:textId="77777777" w:rsidR="00F45CAF" w:rsidRDefault="00F45CAF" w:rsidP="00F45CAF">
      <w:pPr>
        <w:pStyle w:val="Normale1"/>
        <w:jc w:val="both"/>
        <w:rPr>
          <w:rFonts w:ascii="Times New Roman" w:hAnsi="Times New Roman" w:cs="Times New Roman"/>
        </w:rPr>
      </w:pPr>
      <w:r>
        <w:rPr>
          <w:rFonts w:ascii="Times New Roman" w:hAnsi="Times New Roman" w:cs="Times New Roman"/>
        </w:rPr>
        <w:t>Retrospective review</w:t>
      </w:r>
    </w:p>
    <w:p w14:paraId="18FB108C" w14:textId="77777777" w:rsidR="00F45CAF" w:rsidRDefault="00F45CAF" w:rsidP="00F45CAF">
      <w:pPr>
        <w:pStyle w:val="Normale1"/>
        <w:jc w:val="both"/>
        <w:rPr>
          <w:rFonts w:ascii="Times New Roman" w:hAnsi="Times New Roman" w:cs="Times New Roman"/>
        </w:rPr>
      </w:pPr>
      <w:r>
        <w:rPr>
          <w:rFonts w:ascii="Times New Roman" w:hAnsi="Times New Roman" w:cs="Times New Roman"/>
        </w:rPr>
        <w:t xml:space="preserve">We reviewed the records of 124 patients operated at a tertiary center (San Giovanni Bosco Hospital, Turin, Italy) between 2008 and 2020, assessing demography, site of infection, initial presentation, etiology, </w:t>
      </w:r>
      <w:proofErr w:type="gramStart"/>
      <w:r>
        <w:rPr>
          <w:rFonts w:ascii="Times New Roman" w:hAnsi="Times New Roman" w:cs="Times New Roman"/>
        </w:rPr>
        <w:t>comorbidities</w:t>
      </w:r>
      <w:proofErr w:type="gramEnd"/>
      <w:r>
        <w:rPr>
          <w:rFonts w:ascii="Times New Roman" w:hAnsi="Times New Roman" w:cs="Times New Roman"/>
        </w:rPr>
        <w:t xml:space="preserve"> and length of stay. </w:t>
      </w:r>
    </w:p>
    <w:p w14:paraId="72B68D18" w14:textId="77777777" w:rsidR="00F45CAF" w:rsidRDefault="00F45CAF" w:rsidP="00F45CAF">
      <w:pPr>
        <w:pStyle w:val="Normale1"/>
        <w:jc w:val="both"/>
        <w:rPr>
          <w:rFonts w:ascii="Times New Roman" w:hAnsi="Times New Roman" w:cs="Times New Roman"/>
        </w:rPr>
      </w:pPr>
      <w:r>
        <w:rPr>
          <w:rFonts w:ascii="Times New Roman" w:hAnsi="Times New Roman" w:cs="Times New Roman"/>
        </w:rPr>
        <w:t>We excluded patients with peritonsillar abscess and patients who were managed conservatively.</w:t>
      </w:r>
    </w:p>
    <w:p w14:paraId="604FC16F" w14:textId="77777777" w:rsidR="00F45CAF" w:rsidRDefault="00F45CAF" w:rsidP="00F45CAF">
      <w:pPr>
        <w:pStyle w:val="Normale1"/>
        <w:jc w:val="both"/>
        <w:rPr>
          <w:rFonts w:ascii="Times New Roman" w:hAnsi="Times New Roman" w:cs="Times New Roman"/>
        </w:rPr>
      </w:pPr>
    </w:p>
    <w:p w14:paraId="6EBCB8EE" w14:textId="77777777" w:rsidR="00F45CAF" w:rsidRDefault="00F45CAF" w:rsidP="00F45CAF">
      <w:pPr>
        <w:pStyle w:val="Normale1"/>
        <w:jc w:val="both"/>
        <w:rPr>
          <w:rFonts w:ascii="Times New Roman" w:hAnsi="Times New Roman" w:cs="Times New Roman"/>
        </w:rPr>
      </w:pPr>
      <w:r>
        <w:rPr>
          <w:rFonts w:ascii="Times New Roman" w:hAnsi="Times New Roman" w:cs="Times New Roman"/>
        </w:rPr>
        <w:t>Prospective survey</w:t>
      </w:r>
    </w:p>
    <w:p w14:paraId="590F7B18" w14:textId="77777777" w:rsidR="00F45CAF" w:rsidRDefault="00F45CAF" w:rsidP="00F45CAF">
      <w:pPr>
        <w:pStyle w:val="Normale1"/>
        <w:jc w:val="both"/>
        <w:rPr>
          <w:rFonts w:ascii="Times New Roman" w:hAnsi="Times New Roman" w:cs="Times New Roman"/>
          <w:highlight w:val="yellow"/>
        </w:rPr>
      </w:pPr>
      <w:r>
        <w:rPr>
          <w:rFonts w:ascii="Times New Roman" w:hAnsi="Times New Roman" w:cs="Times New Roman"/>
        </w:rPr>
        <w:t xml:space="preserve">We contacted patients to complete the information on long-term outcome. </w:t>
      </w:r>
    </w:p>
    <w:p w14:paraId="41F232A4" w14:textId="77777777" w:rsidR="00F45CAF" w:rsidRDefault="00F45CAF" w:rsidP="00F45CAF">
      <w:pPr>
        <w:pStyle w:val="Normale1"/>
        <w:jc w:val="both"/>
        <w:rPr>
          <w:rFonts w:ascii="Times New Roman" w:hAnsi="Times New Roman" w:cs="Times New Roman"/>
        </w:rPr>
      </w:pPr>
      <w:r w:rsidRPr="004E330B">
        <w:rPr>
          <w:rFonts w:ascii="Times New Roman" w:hAnsi="Times New Roman" w:cs="Times New Roman"/>
        </w:rPr>
        <w:t>Patients who were available for the interview were called and interviewed</w:t>
      </w:r>
      <w:r>
        <w:rPr>
          <w:rFonts w:ascii="Times New Roman" w:hAnsi="Times New Roman" w:cs="Times New Roman"/>
        </w:rPr>
        <w:t xml:space="preserve"> on recurrence of the abscess. </w:t>
      </w:r>
    </w:p>
    <w:p w14:paraId="038D9F24" w14:textId="77777777" w:rsidR="00F45CAF" w:rsidRDefault="00F45CAF" w:rsidP="00F45CAF">
      <w:pPr>
        <w:pStyle w:val="Normale1"/>
        <w:jc w:val="both"/>
        <w:rPr>
          <w:rFonts w:ascii="Times New Roman" w:hAnsi="Times New Roman" w:cs="Times New Roman"/>
        </w:rPr>
      </w:pPr>
      <w:proofErr w:type="gramStart"/>
      <w:r>
        <w:rPr>
          <w:rFonts w:ascii="Times New Roman" w:hAnsi="Times New Roman" w:cs="Times New Roman"/>
        </w:rPr>
        <w:t>Patients  who</w:t>
      </w:r>
      <w:proofErr w:type="gramEnd"/>
      <w:r>
        <w:rPr>
          <w:rFonts w:ascii="Times New Roman" w:hAnsi="Times New Roman" w:cs="Times New Roman"/>
        </w:rPr>
        <w:t xml:space="preserve"> reported  neurologic diseases,  orthopedic interventions, or trauma were not interviewed on the presence of dysphagia or shoulder disabilities. If there was not any other known cause </w:t>
      </w:r>
      <w:proofErr w:type="gramStart"/>
      <w:r>
        <w:rPr>
          <w:rFonts w:ascii="Times New Roman" w:hAnsi="Times New Roman" w:cs="Times New Roman"/>
        </w:rPr>
        <w:t>of  dysphagia</w:t>
      </w:r>
      <w:proofErr w:type="gramEnd"/>
      <w:r>
        <w:rPr>
          <w:rFonts w:ascii="Times New Roman" w:hAnsi="Times New Roman" w:cs="Times New Roman"/>
        </w:rPr>
        <w:t xml:space="preserve"> , the  Eating Assessment Tool (EAT-10) (Belafski 2008) was administered . </w:t>
      </w:r>
    </w:p>
    <w:p w14:paraId="6B1EC838" w14:textId="77777777" w:rsidR="00F45CAF" w:rsidRDefault="00F45CAF" w:rsidP="00F45CAF">
      <w:pPr>
        <w:pStyle w:val="Normale1"/>
        <w:jc w:val="both"/>
        <w:rPr>
          <w:rFonts w:ascii="Times New Roman" w:hAnsi="Times New Roman" w:cs="Times New Roman"/>
        </w:rPr>
      </w:pPr>
      <w:proofErr w:type="gramStart"/>
      <w:r>
        <w:t xml:space="preserve">This </w:t>
      </w:r>
      <w:r>
        <w:rPr>
          <w:rFonts w:ascii="Times New Roman" w:hAnsi="Times New Roman" w:cs="Times New Roman"/>
        </w:rPr>
        <w:t xml:space="preserve"> index</w:t>
      </w:r>
      <w:proofErr w:type="gramEnd"/>
      <w:r>
        <w:rPr>
          <w:rFonts w:ascii="Times New Roman" w:hAnsi="Times New Roman" w:cs="Times New Roman"/>
        </w:rPr>
        <w:t xml:space="preserve"> has  shown consistency and reliability and  dysphagia was defined as an EAT-10 score of 3 or higher.</w:t>
      </w:r>
    </w:p>
    <w:p w14:paraId="7659295E" w14:textId="54D933D6" w:rsidR="000E3E42" w:rsidRDefault="000E3E42">
      <w:pPr>
        <w:rPr>
          <w:lang w:val="en-US"/>
        </w:rPr>
      </w:pPr>
    </w:p>
    <w:p w14:paraId="2A335F10" w14:textId="77777777" w:rsidR="00F45CAF" w:rsidRDefault="00F45CAF" w:rsidP="00F45CAF">
      <w:pPr>
        <w:pStyle w:val="Normale1"/>
        <w:rPr>
          <w:rFonts w:ascii="Times New Roman" w:hAnsi="Times New Roman" w:cs="Times New Roman"/>
          <w:i/>
        </w:rPr>
      </w:pPr>
      <w:r>
        <w:rPr>
          <w:rFonts w:ascii="Times New Roman" w:hAnsi="Times New Roman" w:cs="Times New Roman"/>
          <w:i/>
        </w:rPr>
        <w:t xml:space="preserve">Data analysis </w:t>
      </w:r>
    </w:p>
    <w:p w14:paraId="0FD2B5C4"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Acquired data included demographic characteristics, symptoms, localization of the abscess, etiology, result of microbiological culture, surgical approach and need for surgical revision, need </w:t>
      </w:r>
      <w:r>
        <w:rPr>
          <w:rFonts w:ascii="Times New Roman" w:hAnsi="Times New Roman" w:cs="Times New Roman"/>
        </w:rPr>
        <w:lastRenderedPageBreak/>
        <w:t xml:space="preserve">for tracheostomy or early intubation, complications, comorbidities, </w:t>
      </w:r>
      <w:proofErr w:type="gramStart"/>
      <w:r>
        <w:rPr>
          <w:rFonts w:ascii="Times New Roman" w:hAnsi="Times New Roman" w:cs="Times New Roman"/>
        </w:rPr>
        <w:t>mortality</w:t>
      </w:r>
      <w:proofErr w:type="gramEnd"/>
      <w:r>
        <w:rPr>
          <w:rFonts w:ascii="Times New Roman" w:hAnsi="Times New Roman" w:cs="Times New Roman"/>
        </w:rPr>
        <w:t xml:space="preserve"> and duration of hospitalization. </w:t>
      </w:r>
    </w:p>
    <w:p w14:paraId="2BA669BE" w14:textId="424E87CD" w:rsidR="00F45CAF" w:rsidRDefault="00F45CAF">
      <w:pPr>
        <w:rPr>
          <w:lang w:val="en-US"/>
        </w:rPr>
      </w:pPr>
    </w:p>
    <w:p w14:paraId="59BC9DFC" w14:textId="3405B692" w:rsidR="00F45CAF" w:rsidRDefault="00F45CAF">
      <w:pPr>
        <w:rPr>
          <w:lang w:val="en-US"/>
        </w:rPr>
      </w:pPr>
    </w:p>
    <w:p w14:paraId="06454ADD" w14:textId="77777777" w:rsidR="00F45CAF" w:rsidRDefault="00F45CAF" w:rsidP="00F45CAF">
      <w:pPr>
        <w:pStyle w:val="Normale1"/>
        <w:rPr>
          <w:rFonts w:ascii="Times New Roman" w:hAnsi="Times New Roman" w:cs="Times New Roman"/>
        </w:rPr>
      </w:pPr>
      <w:r>
        <w:rPr>
          <w:rFonts w:ascii="Times New Roman" w:hAnsi="Times New Roman" w:cs="Times New Roman"/>
        </w:rPr>
        <w:t>RESULTS</w:t>
      </w:r>
    </w:p>
    <w:p w14:paraId="2B55C752" w14:textId="77777777" w:rsidR="00F45CAF" w:rsidRDefault="00F45CAF" w:rsidP="00F45CAF">
      <w:pPr>
        <w:pStyle w:val="Normale1"/>
        <w:rPr>
          <w:rFonts w:ascii="Times New Roman" w:hAnsi="Times New Roman" w:cs="Times New Roman"/>
        </w:rPr>
      </w:pPr>
    </w:p>
    <w:p w14:paraId="14CC4FC3" w14:textId="77777777" w:rsidR="00F45CAF" w:rsidRDefault="00F45CAF" w:rsidP="00F45CAF">
      <w:pPr>
        <w:pStyle w:val="Normale1"/>
        <w:shd w:val="clear" w:color="auto" w:fill="FFFFFF"/>
        <w:rPr>
          <w:rFonts w:ascii="Times New Roman" w:hAnsi="Times New Roman" w:cs="Times New Roman"/>
          <w:sz w:val="20"/>
          <w:szCs w:val="20"/>
        </w:rPr>
      </w:pPr>
    </w:p>
    <w:p w14:paraId="7D1C9D70" w14:textId="77777777" w:rsidR="00F45CAF" w:rsidRDefault="00F45CAF" w:rsidP="00F45CAF">
      <w:pPr>
        <w:pStyle w:val="Normale1"/>
        <w:rPr>
          <w:rFonts w:ascii="Times New Roman" w:hAnsi="Times New Roman" w:cs="Times New Roman"/>
          <w:b/>
        </w:rPr>
      </w:pPr>
      <w:r>
        <w:rPr>
          <w:rFonts w:ascii="Times New Roman" w:hAnsi="Times New Roman" w:cs="Times New Roman"/>
          <w:b/>
        </w:rPr>
        <w:t xml:space="preserve">        </w:t>
      </w:r>
    </w:p>
    <w:p w14:paraId="4DD0DB55" w14:textId="77777777" w:rsidR="00F45CAF" w:rsidRPr="004E330B" w:rsidRDefault="00F45CAF" w:rsidP="00F45CAF">
      <w:pPr>
        <w:pStyle w:val="Normale1"/>
        <w:rPr>
          <w:rFonts w:ascii="Times New Roman" w:hAnsi="Times New Roman" w:cs="Times New Roman"/>
        </w:rPr>
      </w:pPr>
      <w:r w:rsidRPr="004E330B">
        <w:rPr>
          <w:rFonts w:ascii="Times New Roman" w:hAnsi="Times New Roman" w:cs="Times New Roman"/>
        </w:rPr>
        <w:t xml:space="preserve"> Retrospective review </w:t>
      </w:r>
    </w:p>
    <w:p w14:paraId="607B1947" w14:textId="77777777" w:rsidR="00F45CAF" w:rsidRDefault="00F45CAF" w:rsidP="00F45CAF">
      <w:pPr>
        <w:pStyle w:val="Normale1"/>
        <w:rPr>
          <w:rFonts w:ascii="Times New Roman" w:hAnsi="Times New Roman" w:cs="Times New Roman"/>
        </w:rPr>
      </w:pPr>
    </w:p>
    <w:p w14:paraId="6D85AAFB"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There were 40 females (34%) and 84 males (67%).  Patients ranged in age from 17 to 89 years, with an average of 49 years (Table I). The mean in-hospital length of stay was 11.3 days </w:t>
      </w:r>
      <w:proofErr w:type="gramStart"/>
      <w:r w:rsidRPr="00E92ADD">
        <w:rPr>
          <w:rFonts w:ascii="Times New Roman" w:hAnsi="Times New Roman" w:cs="Times New Roman"/>
        </w:rPr>
        <w:t>( SD</w:t>
      </w:r>
      <w:proofErr w:type="gramEnd"/>
      <w:r w:rsidRPr="00E92ADD">
        <w:rPr>
          <w:rFonts w:ascii="Times New Roman" w:hAnsi="Times New Roman" w:cs="Times New Roman"/>
        </w:rPr>
        <w:t xml:space="preserve"> 5.7; range 3-27). </w:t>
      </w:r>
    </w:p>
    <w:p w14:paraId="3BFD587E" w14:textId="77777777" w:rsidR="00F45CAF" w:rsidRDefault="00F45CAF" w:rsidP="00F45CAF">
      <w:pPr>
        <w:pStyle w:val="Normale1"/>
        <w:rPr>
          <w:rFonts w:ascii="Times New Roman" w:hAnsi="Times New Roman" w:cs="Times New Roman"/>
        </w:rPr>
      </w:pPr>
      <w:r w:rsidRPr="00E92ADD">
        <w:rPr>
          <w:rFonts w:ascii="Times New Roman" w:hAnsi="Times New Roman" w:cs="Times New Roman"/>
        </w:rPr>
        <w:t xml:space="preserve">Of the 124 patients, 52 (42 %) were current smokers, 9 (8 %) were intravenous drug users and </w:t>
      </w:r>
      <w:proofErr w:type="gramStart"/>
      <w:r w:rsidRPr="00E92ADD">
        <w:rPr>
          <w:rFonts w:ascii="Times New Roman" w:hAnsi="Times New Roman" w:cs="Times New Roman"/>
        </w:rPr>
        <w:t>19  (</w:t>
      </w:r>
      <w:proofErr w:type="gramEnd"/>
      <w:r w:rsidRPr="00E92ADD">
        <w:rPr>
          <w:rFonts w:ascii="Times New Roman" w:hAnsi="Times New Roman" w:cs="Times New Roman"/>
        </w:rPr>
        <w:t>15 %) were diabetic (Table 1)</w:t>
      </w:r>
    </w:p>
    <w:p w14:paraId="0138B69D" w14:textId="77777777" w:rsidR="00F45CAF" w:rsidRDefault="00F45CAF" w:rsidP="00F45CAF">
      <w:pPr>
        <w:pStyle w:val="Normale1"/>
        <w:rPr>
          <w:rFonts w:ascii="Times New Roman" w:hAnsi="Times New Roman" w:cs="Times New Roman"/>
        </w:rPr>
      </w:pPr>
    </w:p>
    <w:p w14:paraId="77C25A88" w14:textId="77777777" w:rsidR="00F45CAF" w:rsidRDefault="00F45CAF" w:rsidP="00F45CAF">
      <w:pPr>
        <w:pStyle w:val="Normale1"/>
        <w:rPr>
          <w:rFonts w:ascii="Arial" w:hAnsi="Arial" w:cs="Arial"/>
          <w:highlight w:val="white"/>
        </w:rPr>
      </w:pPr>
      <w:r>
        <w:rPr>
          <w:rFonts w:ascii="Arial" w:hAnsi="Arial" w:cs="Arial"/>
          <w:highlight w:val="white"/>
        </w:rPr>
        <w:t>Table 1</w:t>
      </w:r>
    </w:p>
    <w:p w14:paraId="761807C5" w14:textId="77777777" w:rsidR="00F45CAF" w:rsidRDefault="00F45CAF" w:rsidP="00F45CAF">
      <w:pPr>
        <w:pStyle w:val="Normale1"/>
        <w:rPr>
          <w:rFonts w:ascii="Times New Roman" w:hAnsi="Times New Roman" w:cs="Times New Roman"/>
        </w:rPr>
      </w:pPr>
      <w:r>
        <w:rPr>
          <w:rFonts w:ascii="Arial" w:hAnsi="Arial" w:cs="Arial"/>
          <w:highlight w:val="white"/>
        </w:rPr>
        <w:t>Demographics of patients presenting with a deep neck space infection</w:t>
      </w:r>
    </w:p>
    <w:p w14:paraId="12EEF965" w14:textId="77777777" w:rsidR="00F45CAF" w:rsidRDefault="00F45CAF" w:rsidP="00F45CAF">
      <w:pPr>
        <w:pStyle w:val="Normale1"/>
        <w:rPr>
          <w:rFonts w:ascii="Times New Roman" w:hAnsi="Times New Roman" w:cs="Times New Roman"/>
        </w:rPr>
      </w:pPr>
    </w:p>
    <w:p w14:paraId="74E24FA9" w14:textId="77777777" w:rsidR="00F45CAF" w:rsidRDefault="00F45CAF" w:rsidP="00F45CAF">
      <w:pPr>
        <w:pStyle w:val="Normale1"/>
        <w:rPr>
          <w:rFonts w:ascii="Times New Roman" w:hAnsi="Times New Roman" w:cs="Times New Roman"/>
        </w:rPr>
      </w:pPr>
    </w:p>
    <w:tbl>
      <w:tblPr>
        <w:tblW w:w="5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0"/>
        <w:gridCol w:w="1320"/>
      </w:tblGrid>
      <w:tr w:rsidR="00F45CAF" w14:paraId="27ABD759" w14:textId="77777777" w:rsidTr="002776EE">
        <w:trPr>
          <w:trHeight w:val="320"/>
        </w:trPr>
        <w:tc>
          <w:tcPr>
            <w:tcW w:w="4000" w:type="dxa"/>
          </w:tcPr>
          <w:p w14:paraId="2916FA89" w14:textId="77777777" w:rsidR="00F45CAF" w:rsidRPr="005B5826" w:rsidRDefault="00F45CAF" w:rsidP="002776EE">
            <w:pPr>
              <w:pStyle w:val="Normale1"/>
              <w:rPr>
                <w:rFonts w:ascii="Arial" w:hAnsi="Arial" w:cs="Arial"/>
              </w:rPr>
            </w:pPr>
            <w:proofErr w:type="gramStart"/>
            <w:r w:rsidRPr="005B5826">
              <w:rPr>
                <w:rFonts w:ascii="Arial" w:hAnsi="Arial" w:cs="Arial"/>
              </w:rPr>
              <w:t>Patients</w:t>
            </w:r>
            <w:proofErr w:type="gramEnd"/>
            <w:r w:rsidRPr="005B5826">
              <w:rPr>
                <w:rFonts w:ascii="Arial" w:hAnsi="Arial" w:cs="Arial"/>
              </w:rPr>
              <w:t xml:space="preserve"> demographics (%)</w:t>
            </w:r>
          </w:p>
        </w:tc>
        <w:tc>
          <w:tcPr>
            <w:tcW w:w="1320" w:type="dxa"/>
          </w:tcPr>
          <w:p w14:paraId="71962239" w14:textId="77777777" w:rsidR="00F45CAF" w:rsidRPr="005B5826" w:rsidRDefault="00F45CAF" w:rsidP="002776EE">
            <w:pPr>
              <w:pStyle w:val="Normale1"/>
              <w:rPr>
                <w:rFonts w:ascii="Arial" w:hAnsi="Arial" w:cs="Arial"/>
              </w:rPr>
            </w:pPr>
            <w:r w:rsidRPr="005B5826">
              <w:rPr>
                <w:rFonts w:ascii="Arial" w:hAnsi="Arial" w:cs="Arial"/>
              </w:rPr>
              <w:t>Patients*</w:t>
            </w:r>
          </w:p>
        </w:tc>
      </w:tr>
      <w:tr w:rsidR="00F45CAF" w14:paraId="0701DB3C" w14:textId="77777777" w:rsidTr="002776EE">
        <w:trPr>
          <w:trHeight w:val="320"/>
        </w:trPr>
        <w:tc>
          <w:tcPr>
            <w:tcW w:w="4000" w:type="dxa"/>
          </w:tcPr>
          <w:p w14:paraId="067147E1" w14:textId="77777777" w:rsidR="00F45CAF" w:rsidRPr="005B5826" w:rsidRDefault="00F45CAF" w:rsidP="002776EE">
            <w:pPr>
              <w:pStyle w:val="Normale1"/>
              <w:rPr>
                <w:rFonts w:ascii="Arial" w:hAnsi="Arial" w:cs="Arial"/>
              </w:rPr>
            </w:pPr>
          </w:p>
        </w:tc>
        <w:tc>
          <w:tcPr>
            <w:tcW w:w="1320" w:type="dxa"/>
          </w:tcPr>
          <w:p w14:paraId="42DF2E59" w14:textId="77777777" w:rsidR="00F45CAF" w:rsidRPr="005B5826" w:rsidRDefault="00F45CAF" w:rsidP="002776EE">
            <w:pPr>
              <w:pStyle w:val="Normale1"/>
              <w:rPr>
                <w:rFonts w:ascii="Arial" w:hAnsi="Arial" w:cs="Arial"/>
              </w:rPr>
            </w:pPr>
          </w:p>
        </w:tc>
      </w:tr>
      <w:tr w:rsidR="00F45CAF" w14:paraId="59C75CEE" w14:textId="77777777" w:rsidTr="002776EE">
        <w:trPr>
          <w:trHeight w:val="320"/>
        </w:trPr>
        <w:tc>
          <w:tcPr>
            <w:tcW w:w="4000" w:type="dxa"/>
          </w:tcPr>
          <w:p w14:paraId="6D444A89" w14:textId="77777777" w:rsidR="00F45CAF" w:rsidRPr="005B5826" w:rsidRDefault="00F45CAF" w:rsidP="002776EE">
            <w:pPr>
              <w:pStyle w:val="Normale1"/>
              <w:rPr>
                <w:rFonts w:ascii="Arial" w:hAnsi="Arial" w:cs="Arial"/>
              </w:rPr>
            </w:pPr>
            <w:r w:rsidRPr="005B5826">
              <w:rPr>
                <w:rFonts w:ascii="Arial" w:hAnsi="Arial" w:cs="Arial"/>
              </w:rPr>
              <w:t>Female</w:t>
            </w:r>
          </w:p>
        </w:tc>
        <w:tc>
          <w:tcPr>
            <w:tcW w:w="1320" w:type="dxa"/>
          </w:tcPr>
          <w:p w14:paraId="6FEC5D62" w14:textId="77777777" w:rsidR="00F45CAF" w:rsidRPr="005B5826" w:rsidRDefault="00F45CAF" w:rsidP="002776EE">
            <w:pPr>
              <w:pStyle w:val="Normale1"/>
              <w:rPr>
                <w:rFonts w:ascii="Arial" w:hAnsi="Arial" w:cs="Arial"/>
              </w:rPr>
            </w:pPr>
            <w:r w:rsidRPr="005B5826">
              <w:rPr>
                <w:rFonts w:ascii="Arial" w:hAnsi="Arial" w:cs="Arial"/>
              </w:rPr>
              <w:t>40 (34)</w:t>
            </w:r>
          </w:p>
        </w:tc>
      </w:tr>
      <w:tr w:rsidR="00F45CAF" w14:paraId="4A9F6616" w14:textId="77777777" w:rsidTr="002776EE">
        <w:trPr>
          <w:trHeight w:val="320"/>
        </w:trPr>
        <w:tc>
          <w:tcPr>
            <w:tcW w:w="4000" w:type="dxa"/>
          </w:tcPr>
          <w:p w14:paraId="5044F8B1" w14:textId="77777777" w:rsidR="00F45CAF" w:rsidRPr="005B5826" w:rsidRDefault="00F45CAF" w:rsidP="002776EE">
            <w:pPr>
              <w:pStyle w:val="Normale1"/>
              <w:rPr>
                <w:rFonts w:ascii="Arial" w:hAnsi="Arial" w:cs="Arial"/>
              </w:rPr>
            </w:pPr>
            <w:r w:rsidRPr="005B5826">
              <w:rPr>
                <w:rFonts w:ascii="Arial" w:hAnsi="Arial" w:cs="Arial"/>
              </w:rPr>
              <w:t>Male</w:t>
            </w:r>
          </w:p>
        </w:tc>
        <w:tc>
          <w:tcPr>
            <w:tcW w:w="1320" w:type="dxa"/>
          </w:tcPr>
          <w:p w14:paraId="01057D2A" w14:textId="77777777" w:rsidR="00F45CAF" w:rsidRPr="005B5826" w:rsidRDefault="00F45CAF" w:rsidP="002776EE">
            <w:pPr>
              <w:pStyle w:val="Normale1"/>
              <w:rPr>
                <w:rFonts w:ascii="Arial" w:hAnsi="Arial" w:cs="Arial"/>
              </w:rPr>
            </w:pPr>
            <w:r w:rsidRPr="005B5826">
              <w:rPr>
                <w:rFonts w:ascii="Arial" w:hAnsi="Arial" w:cs="Arial"/>
              </w:rPr>
              <w:t>84 (67)</w:t>
            </w:r>
          </w:p>
        </w:tc>
      </w:tr>
      <w:tr w:rsidR="00F45CAF" w14:paraId="5D720A06" w14:textId="77777777" w:rsidTr="002776EE">
        <w:trPr>
          <w:trHeight w:val="320"/>
        </w:trPr>
        <w:tc>
          <w:tcPr>
            <w:tcW w:w="4000" w:type="dxa"/>
          </w:tcPr>
          <w:p w14:paraId="601C2BD0" w14:textId="77777777" w:rsidR="00F45CAF" w:rsidRPr="005B5826" w:rsidRDefault="00F45CAF" w:rsidP="002776EE">
            <w:pPr>
              <w:pStyle w:val="Normale1"/>
              <w:rPr>
                <w:rFonts w:ascii="Arial" w:hAnsi="Arial" w:cs="Arial"/>
              </w:rPr>
            </w:pPr>
            <w:r w:rsidRPr="005B5826">
              <w:rPr>
                <w:rFonts w:ascii="Arial" w:hAnsi="Arial" w:cs="Arial"/>
              </w:rPr>
              <w:t>Smoker</w:t>
            </w:r>
          </w:p>
        </w:tc>
        <w:tc>
          <w:tcPr>
            <w:tcW w:w="1320" w:type="dxa"/>
          </w:tcPr>
          <w:p w14:paraId="33C9BD5B" w14:textId="77777777" w:rsidR="00F45CAF" w:rsidRPr="005B5826" w:rsidRDefault="00F45CAF" w:rsidP="002776EE">
            <w:pPr>
              <w:pStyle w:val="Normale1"/>
              <w:rPr>
                <w:rFonts w:ascii="Arial" w:hAnsi="Arial" w:cs="Arial"/>
              </w:rPr>
            </w:pPr>
            <w:r w:rsidRPr="005B5826">
              <w:rPr>
                <w:rFonts w:ascii="Arial" w:hAnsi="Arial" w:cs="Arial"/>
              </w:rPr>
              <w:t>52(42)</w:t>
            </w:r>
          </w:p>
        </w:tc>
      </w:tr>
      <w:tr w:rsidR="00F45CAF" w14:paraId="10B11DBE" w14:textId="77777777" w:rsidTr="002776EE">
        <w:trPr>
          <w:trHeight w:val="320"/>
        </w:trPr>
        <w:tc>
          <w:tcPr>
            <w:tcW w:w="4000" w:type="dxa"/>
          </w:tcPr>
          <w:p w14:paraId="7AF76A55" w14:textId="77777777" w:rsidR="00F45CAF" w:rsidRPr="005B5826" w:rsidRDefault="00F45CAF" w:rsidP="002776EE">
            <w:pPr>
              <w:pStyle w:val="Normale1"/>
              <w:rPr>
                <w:rFonts w:ascii="Arial" w:hAnsi="Arial" w:cs="Arial"/>
              </w:rPr>
            </w:pPr>
            <w:r w:rsidRPr="005B5826">
              <w:rPr>
                <w:rFonts w:ascii="Arial" w:hAnsi="Arial" w:cs="Arial"/>
              </w:rPr>
              <w:t>Diabetic</w:t>
            </w:r>
          </w:p>
        </w:tc>
        <w:tc>
          <w:tcPr>
            <w:tcW w:w="1320" w:type="dxa"/>
          </w:tcPr>
          <w:p w14:paraId="00B73D23" w14:textId="77777777" w:rsidR="00F45CAF" w:rsidRPr="005B5826" w:rsidRDefault="00F45CAF" w:rsidP="002776EE">
            <w:pPr>
              <w:pStyle w:val="Normale1"/>
              <w:rPr>
                <w:rFonts w:ascii="Arial" w:hAnsi="Arial" w:cs="Arial"/>
              </w:rPr>
            </w:pPr>
            <w:r w:rsidRPr="005B5826">
              <w:rPr>
                <w:rFonts w:ascii="Arial" w:hAnsi="Arial" w:cs="Arial"/>
              </w:rPr>
              <w:t>19(15)</w:t>
            </w:r>
          </w:p>
        </w:tc>
      </w:tr>
      <w:tr w:rsidR="00F45CAF" w14:paraId="2E1FEEB7" w14:textId="77777777" w:rsidTr="002776EE">
        <w:trPr>
          <w:trHeight w:val="320"/>
        </w:trPr>
        <w:tc>
          <w:tcPr>
            <w:tcW w:w="4000" w:type="dxa"/>
          </w:tcPr>
          <w:p w14:paraId="75CEB413" w14:textId="77777777" w:rsidR="00F45CAF" w:rsidRPr="005B5826" w:rsidRDefault="00F45CAF" w:rsidP="002776EE">
            <w:pPr>
              <w:pStyle w:val="Normale1"/>
              <w:rPr>
                <w:rFonts w:ascii="Arial" w:hAnsi="Arial" w:cs="Arial"/>
              </w:rPr>
            </w:pPr>
            <w:r w:rsidRPr="005B5826">
              <w:rPr>
                <w:rFonts w:ascii="Arial" w:hAnsi="Arial" w:cs="Arial"/>
              </w:rPr>
              <w:t>Intravenous drug use</w:t>
            </w:r>
          </w:p>
        </w:tc>
        <w:tc>
          <w:tcPr>
            <w:tcW w:w="1320" w:type="dxa"/>
          </w:tcPr>
          <w:p w14:paraId="15DF2F22" w14:textId="77777777" w:rsidR="00F45CAF" w:rsidRPr="005B5826" w:rsidRDefault="00F45CAF" w:rsidP="002776EE">
            <w:pPr>
              <w:pStyle w:val="Normale1"/>
              <w:rPr>
                <w:rFonts w:ascii="Arial" w:hAnsi="Arial" w:cs="Arial"/>
              </w:rPr>
            </w:pPr>
            <w:r w:rsidRPr="005B5826">
              <w:rPr>
                <w:rFonts w:ascii="Arial" w:hAnsi="Arial" w:cs="Arial"/>
              </w:rPr>
              <w:t>9 (8)</w:t>
            </w:r>
          </w:p>
        </w:tc>
      </w:tr>
      <w:tr w:rsidR="00F45CAF" w14:paraId="76D0A0B9" w14:textId="77777777" w:rsidTr="002776EE">
        <w:trPr>
          <w:trHeight w:val="320"/>
        </w:trPr>
        <w:tc>
          <w:tcPr>
            <w:tcW w:w="4000" w:type="dxa"/>
          </w:tcPr>
          <w:p w14:paraId="1A15A146" w14:textId="77777777" w:rsidR="00F45CAF" w:rsidRPr="005B5826" w:rsidRDefault="00F45CAF" w:rsidP="002776EE">
            <w:pPr>
              <w:pStyle w:val="Normale1"/>
              <w:rPr>
                <w:rFonts w:ascii="Arial" w:hAnsi="Arial" w:cs="Arial"/>
              </w:rPr>
            </w:pPr>
            <w:r w:rsidRPr="005B5826">
              <w:rPr>
                <w:rFonts w:ascii="Arial" w:hAnsi="Arial" w:cs="Arial"/>
              </w:rPr>
              <w:t>Age (range, years)</w:t>
            </w:r>
          </w:p>
        </w:tc>
        <w:tc>
          <w:tcPr>
            <w:tcW w:w="1320" w:type="dxa"/>
          </w:tcPr>
          <w:p w14:paraId="4AD8B626" w14:textId="77777777" w:rsidR="00F45CAF" w:rsidRPr="005B5826" w:rsidRDefault="00F45CAF" w:rsidP="002776EE">
            <w:pPr>
              <w:pStyle w:val="Normale1"/>
              <w:rPr>
                <w:rFonts w:ascii="Arial" w:hAnsi="Arial" w:cs="Arial"/>
              </w:rPr>
            </w:pPr>
            <w:r w:rsidRPr="005B5826">
              <w:rPr>
                <w:rFonts w:ascii="Arial" w:hAnsi="Arial" w:cs="Arial"/>
              </w:rPr>
              <w:t>17--89</w:t>
            </w:r>
          </w:p>
        </w:tc>
      </w:tr>
      <w:tr w:rsidR="00F45CAF" w14:paraId="33520B91" w14:textId="77777777" w:rsidTr="002776EE">
        <w:trPr>
          <w:trHeight w:val="320"/>
        </w:trPr>
        <w:tc>
          <w:tcPr>
            <w:tcW w:w="4000" w:type="dxa"/>
          </w:tcPr>
          <w:p w14:paraId="3CB2E001" w14:textId="77777777" w:rsidR="00F45CAF" w:rsidRPr="005B5826" w:rsidRDefault="00F45CAF" w:rsidP="002776EE">
            <w:pPr>
              <w:pStyle w:val="Normale1"/>
              <w:rPr>
                <w:rFonts w:ascii="Arial" w:hAnsi="Arial" w:cs="Arial"/>
              </w:rPr>
            </w:pPr>
            <w:r w:rsidRPr="005B5826">
              <w:rPr>
                <w:rFonts w:ascii="Arial" w:hAnsi="Arial" w:cs="Arial"/>
              </w:rPr>
              <w:t>Length of hospital stay (range, days)</w:t>
            </w:r>
          </w:p>
        </w:tc>
        <w:tc>
          <w:tcPr>
            <w:tcW w:w="1320" w:type="dxa"/>
          </w:tcPr>
          <w:p w14:paraId="35485783" w14:textId="77777777" w:rsidR="00F45CAF" w:rsidRPr="005B5826" w:rsidRDefault="00F45CAF" w:rsidP="002776EE">
            <w:pPr>
              <w:pStyle w:val="Normale1"/>
              <w:rPr>
                <w:rFonts w:ascii="Arial" w:hAnsi="Arial" w:cs="Arial"/>
              </w:rPr>
            </w:pPr>
            <w:r w:rsidRPr="005B5826">
              <w:rPr>
                <w:rFonts w:ascii="Arial" w:hAnsi="Arial" w:cs="Arial"/>
              </w:rPr>
              <w:t>3--27</w:t>
            </w:r>
          </w:p>
        </w:tc>
      </w:tr>
      <w:tr w:rsidR="00F45CAF" w14:paraId="3EBE2E59" w14:textId="77777777" w:rsidTr="002776EE">
        <w:trPr>
          <w:trHeight w:val="320"/>
        </w:trPr>
        <w:tc>
          <w:tcPr>
            <w:tcW w:w="4000" w:type="dxa"/>
          </w:tcPr>
          <w:p w14:paraId="6D927E62" w14:textId="77777777" w:rsidR="00F45CAF" w:rsidRPr="005B5826" w:rsidRDefault="00F45CAF" w:rsidP="002776EE">
            <w:pPr>
              <w:pStyle w:val="Normale1"/>
              <w:rPr>
                <w:rFonts w:ascii="Arial" w:hAnsi="Arial" w:cs="Arial"/>
              </w:rPr>
            </w:pPr>
            <w:r w:rsidRPr="005B5826">
              <w:rPr>
                <w:rFonts w:ascii="Arial" w:hAnsi="Arial" w:cs="Arial"/>
              </w:rPr>
              <w:t xml:space="preserve">Clinical presentation </w:t>
            </w:r>
          </w:p>
        </w:tc>
        <w:tc>
          <w:tcPr>
            <w:tcW w:w="1320" w:type="dxa"/>
          </w:tcPr>
          <w:p w14:paraId="28076519" w14:textId="77777777" w:rsidR="00F45CAF" w:rsidRPr="005B5826" w:rsidRDefault="00F45CAF" w:rsidP="002776EE">
            <w:pPr>
              <w:pStyle w:val="Normale1"/>
              <w:rPr>
                <w:rFonts w:ascii="Arial" w:hAnsi="Arial" w:cs="Arial"/>
              </w:rPr>
            </w:pPr>
          </w:p>
        </w:tc>
      </w:tr>
      <w:tr w:rsidR="00F45CAF" w14:paraId="7975C297" w14:textId="77777777" w:rsidTr="002776EE">
        <w:trPr>
          <w:trHeight w:val="320"/>
        </w:trPr>
        <w:tc>
          <w:tcPr>
            <w:tcW w:w="4000" w:type="dxa"/>
          </w:tcPr>
          <w:p w14:paraId="2104E400" w14:textId="77777777" w:rsidR="00F45CAF" w:rsidRPr="005B5826" w:rsidRDefault="00F45CAF" w:rsidP="002776EE">
            <w:pPr>
              <w:pStyle w:val="Normale1"/>
              <w:rPr>
                <w:rFonts w:ascii="Arial" w:hAnsi="Arial" w:cs="Arial"/>
              </w:rPr>
            </w:pPr>
            <w:r w:rsidRPr="005B5826">
              <w:rPr>
                <w:rFonts w:ascii="Arial" w:hAnsi="Arial" w:cs="Arial"/>
              </w:rPr>
              <w:t>Dyspnea</w:t>
            </w:r>
          </w:p>
        </w:tc>
        <w:tc>
          <w:tcPr>
            <w:tcW w:w="1320" w:type="dxa"/>
          </w:tcPr>
          <w:p w14:paraId="53AB9B68" w14:textId="77777777" w:rsidR="00F45CAF" w:rsidRPr="005B5826" w:rsidRDefault="00F45CAF" w:rsidP="002776EE">
            <w:pPr>
              <w:pStyle w:val="Normale1"/>
              <w:rPr>
                <w:rFonts w:ascii="Arial" w:hAnsi="Arial" w:cs="Arial"/>
              </w:rPr>
            </w:pPr>
            <w:r w:rsidRPr="005B5826">
              <w:rPr>
                <w:rFonts w:ascii="Arial" w:hAnsi="Arial" w:cs="Arial"/>
              </w:rPr>
              <w:t>36(29)</w:t>
            </w:r>
          </w:p>
        </w:tc>
      </w:tr>
      <w:tr w:rsidR="00F45CAF" w14:paraId="7242A752" w14:textId="77777777" w:rsidTr="002776EE">
        <w:trPr>
          <w:trHeight w:val="320"/>
        </w:trPr>
        <w:tc>
          <w:tcPr>
            <w:tcW w:w="4000" w:type="dxa"/>
          </w:tcPr>
          <w:p w14:paraId="35B70495" w14:textId="77777777" w:rsidR="00F45CAF" w:rsidRPr="005B5826" w:rsidRDefault="00F45CAF" w:rsidP="002776EE">
            <w:pPr>
              <w:pStyle w:val="Normale1"/>
              <w:rPr>
                <w:rFonts w:ascii="Arial" w:hAnsi="Arial" w:cs="Arial"/>
              </w:rPr>
            </w:pPr>
            <w:r w:rsidRPr="005B5826">
              <w:rPr>
                <w:rFonts w:ascii="Arial" w:hAnsi="Arial" w:cs="Arial"/>
              </w:rPr>
              <w:t>Odynophagia</w:t>
            </w:r>
          </w:p>
        </w:tc>
        <w:tc>
          <w:tcPr>
            <w:tcW w:w="1320" w:type="dxa"/>
          </w:tcPr>
          <w:p w14:paraId="493786FE" w14:textId="77777777" w:rsidR="00F45CAF" w:rsidRPr="005B5826" w:rsidRDefault="00F45CAF" w:rsidP="002776EE">
            <w:pPr>
              <w:pStyle w:val="Normale1"/>
              <w:rPr>
                <w:rFonts w:ascii="Arial" w:hAnsi="Arial" w:cs="Arial"/>
              </w:rPr>
            </w:pPr>
            <w:r w:rsidRPr="005B5826">
              <w:rPr>
                <w:rFonts w:ascii="Arial" w:hAnsi="Arial" w:cs="Arial"/>
              </w:rPr>
              <w:t>70 (56)</w:t>
            </w:r>
          </w:p>
        </w:tc>
      </w:tr>
      <w:tr w:rsidR="00F45CAF" w14:paraId="71BE5533" w14:textId="77777777" w:rsidTr="002776EE">
        <w:trPr>
          <w:trHeight w:val="320"/>
        </w:trPr>
        <w:tc>
          <w:tcPr>
            <w:tcW w:w="4000" w:type="dxa"/>
          </w:tcPr>
          <w:p w14:paraId="0219E7F5" w14:textId="77777777" w:rsidR="00F45CAF" w:rsidRPr="005B5826" w:rsidRDefault="00F45CAF" w:rsidP="002776EE">
            <w:pPr>
              <w:pStyle w:val="Normale1"/>
              <w:rPr>
                <w:rFonts w:ascii="Arial" w:hAnsi="Arial" w:cs="Arial"/>
              </w:rPr>
            </w:pPr>
            <w:r w:rsidRPr="005B5826">
              <w:rPr>
                <w:rFonts w:ascii="Arial" w:hAnsi="Arial" w:cs="Arial"/>
              </w:rPr>
              <w:t xml:space="preserve">Dysphonia </w:t>
            </w:r>
          </w:p>
        </w:tc>
        <w:tc>
          <w:tcPr>
            <w:tcW w:w="1320" w:type="dxa"/>
          </w:tcPr>
          <w:p w14:paraId="36E45C86" w14:textId="77777777" w:rsidR="00F45CAF" w:rsidRPr="005B5826" w:rsidRDefault="00F45CAF" w:rsidP="002776EE">
            <w:pPr>
              <w:pStyle w:val="Normale1"/>
              <w:rPr>
                <w:rFonts w:ascii="Arial" w:hAnsi="Arial" w:cs="Arial"/>
              </w:rPr>
            </w:pPr>
            <w:r w:rsidRPr="005B5826">
              <w:rPr>
                <w:rFonts w:ascii="Arial" w:hAnsi="Arial" w:cs="Arial"/>
              </w:rPr>
              <w:t>28 (23)</w:t>
            </w:r>
          </w:p>
        </w:tc>
      </w:tr>
      <w:tr w:rsidR="00F45CAF" w14:paraId="718865F9" w14:textId="77777777" w:rsidTr="002776EE">
        <w:trPr>
          <w:trHeight w:val="320"/>
        </w:trPr>
        <w:tc>
          <w:tcPr>
            <w:tcW w:w="4000" w:type="dxa"/>
          </w:tcPr>
          <w:p w14:paraId="2DD7722D" w14:textId="77777777" w:rsidR="00F45CAF" w:rsidRPr="005B5826" w:rsidRDefault="00F45CAF" w:rsidP="002776EE">
            <w:pPr>
              <w:pStyle w:val="Normale1"/>
              <w:rPr>
                <w:rFonts w:ascii="Arial" w:hAnsi="Arial" w:cs="Arial"/>
              </w:rPr>
            </w:pPr>
            <w:r w:rsidRPr="005B5826">
              <w:rPr>
                <w:rFonts w:ascii="Arial" w:hAnsi="Arial" w:cs="Arial"/>
              </w:rPr>
              <w:t xml:space="preserve">Airway Edema </w:t>
            </w:r>
          </w:p>
        </w:tc>
        <w:tc>
          <w:tcPr>
            <w:tcW w:w="1320" w:type="dxa"/>
          </w:tcPr>
          <w:p w14:paraId="3D43EA83" w14:textId="77777777" w:rsidR="00F45CAF" w:rsidRPr="005B5826" w:rsidRDefault="00F45CAF" w:rsidP="002776EE">
            <w:pPr>
              <w:pStyle w:val="Normale1"/>
              <w:rPr>
                <w:rFonts w:ascii="Arial" w:hAnsi="Arial" w:cs="Arial"/>
              </w:rPr>
            </w:pPr>
            <w:r w:rsidRPr="005B5826">
              <w:rPr>
                <w:rFonts w:ascii="Arial" w:hAnsi="Arial" w:cs="Arial"/>
              </w:rPr>
              <w:t>48 (39)</w:t>
            </w:r>
          </w:p>
        </w:tc>
      </w:tr>
    </w:tbl>
    <w:p w14:paraId="18BCFF1D" w14:textId="77777777" w:rsidR="00F45CAF" w:rsidRDefault="00F45CAF" w:rsidP="00F45CAF">
      <w:pPr>
        <w:pStyle w:val="Normale1"/>
        <w:rPr>
          <w:rFonts w:ascii="Arial" w:hAnsi="Arial" w:cs="Arial"/>
          <w:color w:val="000000"/>
          <w:sz w:val="13"/>
          <w:szCs w:val="13"/>
        </w:rPr>
      </w:pPr>
    </w:p>
    <w:p w14:paraId="2593C68A" w14:textId="77777777" w:rsidR="00F45CAF" w:rsidRDefault="00F45CAF" w:rsidP="00F45CAF">
      <w:pPr>
        <w:pStyle w:val="Normale1"/>
        <w:rPr>
          <w:rFonts w:ascii="Arial" w:hAnsi="Arial" w:cs="Arial"/>
          <w:color w:val="000000"/>
          <w:sz w:val="21"/>
          <w:szCs w:val="21"/>
        </w:rPr>
      </w:pPr>
      <w:r>
        <w:rPr>
          <w:rFonts w:ascii="Arial" w:hAnsi="Arial" w:cs="Arial"/>
          <w:color w:val="000000"/>
          <w:sz w:val="21"/>
          <w:szCs w:val="21"/>
        </w:rPr>
        <w:t>*Total n=124</w:t>
      </w:r>
    </w:p>
    <w:p w14:paraId="31346F28" w14:textId="77777777" w:rsidR="00F45CAF" w:rsidRDefault="00F45CAF" w:rsidP="00F45CAF">
      <w:pPr>
        <w:pStyle w:val="Normale1"/>
        <w:rPr>
          <w:rFonts w:ascii="Arial" w:hAnsi="Arial" w:cs="Arial"/>
          <w:color w:val="000000"/>
        </w:rPr>
      </w:pPr>
    </w:p>
    <w:p w14:paraId="43990EE6" w14:textId="77777777" w:rsidR="00F45CAF" w:rsidRDefault="00F45CAF" w:rsidP="00F45CAF">
      <w:pPr>
        <w:pStyle w:val="Normale1"/>
        <w:rPr>
          <w:rFonts w:ascii="Times New Roman" w:hAnsi="Times New Roman" w:cs="Times New Roman"/>
        </w:rPr>
      </w:pPr>
    </w:p>
    <w:p w14:paraId="61DD5E53" w14:textId="77777777" w:rsidR="00F45CAF" w:rsidRDefault="00F45CAF" w:rsidP="00F45CAF">
      <w:pPr>
        <w:pStyle w:val="Normale1"/>
        <w:rPr>
          <w:rFonts w:ascii="Times New Roman" w:hAnsi="Times New Roman" w:cs="Times New Roman"/>
        </w:rPr>
      </w:pPr>
    </w:p>
    <w:p w14:paraId="04788F04" w14:textId="77777777" w:rsidR="00F45CAF" w:rsidRDefault="00F45CAF" w:rsidP="00F45CAF">
      <w:pPr>
        <w:pStyle w:val="Normale1"/>
        <w:rPr>
          <w:rFonts w:ascii="Times New Roman" w:hAnsi="Times New Roman" w:cs="Times New Roman"/>
          <w:b/>
        </w:rPr>
      </w:pPr>
    </w:p>
    <w:p w14:paraId="20133F68" w14:textId="77777777" w:rsidR="00F45CAF" w:rsidRDefault="00F45CAF" w:rsidP="00F45CAF">
      <w:pPr>
        <w:pStyle w:val="Normale1"/>
        <w:rPr>
          <w:rFonts w:ascii="Times New Roman" w:hAnsi="Times New Roman" w:cs="Times New Roman"/>
          <w:b/>
        </w:rPr>
      </w:pPr>
    </w:p>
    <w:p w14:paraId="1D74400A"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Fascial space incidence </w:t>
      </w:r>
    </w:p>
    <w:p w14:paraId="0FC98F82"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w:t>
      </w:r>
    </w:p>
    <w:p w14:paraId="429339D4"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Etiology and Culture</w:t>
      </w:r>
    </w:p>
    <w:p w14:paraId="251E5E6C" w14:textId="77777777" w:rsidR="00F45CAF" w:rsidRDefault="00F45CAF" w:rsidP="00F45CAF">
      <w:pPr>
        <w:pStyle w:val="Normale1"/>
        <w:rPr>
          <w:rFonts w:ascii="Times New Roman" w:hAnsi="Times New Roman" w:cs="Times New Roman"/>
        </w:rPr>
      </w:pPr>
      <w:r w:rsidRPr="00E92ADD">
        <w:rPr>
          <w:rFonts w:ascii="Times New Roman" w:hAnsi="Times New Roman" w:cs="Times New Roman"/>
        </w:rPr>
        <w:lastRenderedPageBreak/>
        <w:t xml:space="preserve">There were 8 different microorganisms isolated and identified on culture.  </w:t>
      </w:r>
      <w:proofErr w:type="gramStart"/>
      <w:r w:rsidRPr="00E92ADD">
        <w:rPr>
          <w:rFonts w:ascii="Times New Roman" w:hAnsi="Times New Roman" w:cs="Times New Roman"/>
        </w:rPr>
        <w:t>The majority of</w:t>
      </w:r>
      <w:proofErr w:type="gramEnd"/>
      <w:r w:rsidRPr="00E92ADD">
        <w:rPr>
          <w:rFonts w:ascii="Times New Roman" w:hAnsi="Times New Roman" w:cs="Times New Roman"/>
        </w:rPr>
        <w:t xml:space="preserve"> cases were unknown because the culture did not show any growth or was not done/available (Figure1)</w:t>
      </w:r>
      <w:r>
        <w:rPr>
          <w:rFonts w:ascii="Times New Roman" w:hAnsi="Times New Roman" w:cs="Times New Roman"/>
        </w:rPr>
        <w:t>.</w:t>
      </w:r>
      <w:r>
        <w:rPr>
          <w:noProof/>
          <w:lang w:val="it-IT"/>
        </w:rPr>
        <w:drawing>
          <wp:inline distT="0" distB="0" distL="0" distR="0" wp14:anchorId="7CE866D6" wp14:editId="7ABE2D0E">
            <wp:extent cx="7531100" cy="46990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1100" cy="4699000"/>
                    </a:xfrm>
                    <a:prstGeom prst="rect">
                      <a:avLst/>
                    </a:prstGeom>
                    <a:noFill/>
                    <a:ln>
                      <a:noFill/>
                    </a:ln>
                  </pic:spPr>
                </pic:pic>
              </a:graphicData>
            </a:graphic>
          </wp:inline>
        </w:drawing>
      </w:r>
    </w:p>
    <w:p w14:paraId="19191800"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Figure 1: </w:t>
      </w:r>
      <w:r>
        <w:rPr>
          <w:rFonts w:ascii="Arial" w:hAnsi="Arial" w:cs="Arial"/>
          <w:sz w:val="15"/>
          <w:szCs w:val="15"/>
          <w:highlight w:val="white"/>
        </w:rPr>
        <w:t>Microorganisms</w:t>
      </w:r>
    </w:p>
    <w:p w14:paraId="72BA6567" w14:textId="77777777" w:rsidR="00F45CAF" w:rsidRDefault="00F45CAF" w:rsidP="00F45CAF">
      <w:pPr>
        <w:pStyle w:val="Normale1"/>
        <w:rPr>
          <w:rFonts w:ascii="Times New Roman" w:hAnsi="Times New Roman" w:cs="Times New Roman"/>
        </w:rPr>
      </w:pPr>
    </w:p>
    <w:p w14:paraId="73D12377"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Cause </w:t>
      </w:r>
    </w:p>
    <w:p w14:paraId="394A8098"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Was possible to identify a cause in 47% of cases. Identified causes are depicted in figure 2.</w:t>
      </w:r>
    </w:p>
    <w:p w14:paraId="7A342480" w14:textId="77777777" w:rsidR="00F45CAF" w:rsidRDefault="00F45CAF" w:rsidP="00F45CAF">
      <w:pPr>
        <w:pStyle w:val="Normale1"/>
        <w:rPr>
          <w:rFonts w:ascii="Times New Roman" w:hAnsi="Times New Roman" w:cs="Times New Roman"/>
        </w:rPr>
      </w:pPr>
      <w:r w:rsidRPr="00E92ADD">
        <w:rPr>
          <w:rFonts w:ascii="Times New Roman" w:hAnsi="Times New Roman" w:cs="Times New Roman"/>
        </w:rPr>
        <w:lastRenderedPageBreak/>
        <w:t>Under the label other we included thyroiditis (2 cases), actynomicosis (1 case, epiglottitis (2 cases), bacterial pneumoniae (1 case</w:t>
      </w:r>
      <w:proofErr w:type="gramStart"/>
      <w:r w:rsidRPr="00E92ADD">
        <w:rPr>
          <w:rFonts w:ascii="Times New Roman" w:hAnsi="Times New Roman" w:cs="Times New Roman"/>
        </w:rPr>
        <w:t>) ,</w:t>
      </w:r>
      <w:proofErr w:type="gramEnd"/>
      <w:r w:rsidRPr="00E92ADD">
        <w:rPr>
          <w:rFonts w:ascii="Times New Roman" w:hAnsi="Times New Roman" w:cs="Times New Roman"/>
        </w:rPr>
        <w:t xml:space="preserve"> metal plate infection ( 1 case), sphenoid infection (1 case) .</w:t>
      </w:r>
      <w:r>
        <w:rPr>
          <w:noProof/>
          <w:lang w:val="it-IT"/>
        </w:rPr>
        <w:drawing>
          <wp:inline distT="0" distB="0" distL="0" distR="0" wp14:anchorId="6CD3621A" wp14:editId="04676E91">
            <wp:extent cx="6134100" cy="41275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4127500"/>
                    </a:xfrm>
                    <a:prstGeom prst="rect">
                      <a:avLst/>
                    </a:prstGeom>
                    <a:noFill/>
                    <a:ln>
                      <a:noFill/>
                    </a:ln>
                  </pic:spPr>
                </pic:pic>
              </a:graphicData>
            </a:graphic>
          </wp:inline>
        </w:drawing>
      </w:r>
    </w:p>
    <w:p w14:paraId="3D69482C"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Figure 2: causes identified.</w:t>
      </w:r>
    </w:p>
    <w:p w14:paraId="0B029BA0"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w:t>
      </w:r>
    </w:p>
    <w:p w14:paraId="7E190238" w14:textId="77777777" w:rsidR="00F45CAF" w:rsidRDefault="00F45CAF" w:rsidP="00F45CAF">
      <w:pPr>
        <w:pStyle w:val="Normale1"/>
        <w:rPr>
          <w:rFonts w:ascii="Times New Roman" w:hAnsi="Times New Roman" w:cs="Times New Roman"/>
        </w:rPr>
      </w:pPr>
    </w:p>
    <w:p w14:paraId="207707EC" w14:textId="77777777" w:rsidR="00F45CAF" w:rsidRDefault="00F45CAF" w:rsidP="00F45CAF">
      <w:pPr>
        <w:pStyle w:val="Normale1"/>
        <w:rPr>
          <w:rFonts w:ascii="Times New Roman" w:hAnsi="Times New Roman" w:cs="Times New Roman"/>
        </w:rPr>
      </w:pPr>
    </w:p>
    <w:p w14:paraId="117799AA" w14:textId="77777777" w:rsidR="00F45CAF" w:rsidRDefault="00F45CAF" w:rsidP="00F45CAF">
      <w:pPr>
        <w:pStyle w:val="Normale1"/>
        <w:rPr>
          <w:rFonts w:ascii="Times New Roman" w:hAnsi="Times New Roman" w:cs="Times New Roman"/>
        </w:rPr>
      </w:pPr>
      <w:r>
        <w:rPr>
          <w:rFonts w:ascii="Times New Roman" w:hAnsi="Times New Roman" w:cs="Times New Roman"/>
        </w:rPr>
        <w:t>Symptoms</w:t>
      </w:r>
    </w:p>
    <w:p w14:paraId="344ED9B0"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w:t>
      </w:r>
    </w:p>
    <w:p w14:paraId="500200FD" w14:textId="77777777" w:rsidR="00F45CAF" w:rsidRDefault="00F45CAF" w:rsidP="00F45CAF">
      <w:pPr>
        <w:pStyle w:val="Normale1"/>
        <w:rPr>
          <w:rFonts w:ascii="Times New Roman" w:hAnsi="Times New Roman" w:cs="Times New Roman"/>
        </w:rPr>
      </w:pPr>
    </w:p>
    <w:p w14:paraId="77ECD1C2"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Odinophagia was the most common symptom, present overall in </w:t>
      </w:r>
      <w:proofErr w:type="gramStart"/>
      <w:r w:rsidRPr="00E92ADD">
        <w:rPr>
          <w:rFonts w:ascii="Times New Roman" w:hAnsi="Times New Roman" w:cs="Times New Roman"/>
        </w:rPr>
        <w:t>70  (</w:t>
      </w:r>
      <w:proofErr w:type="gramEnd"/>
      <w:r w:rsidRPr="00E92ADD">
        <w:rPr>
          <w:rFonts w:ascii="Times New Roman" w:hAnsi="Times New Roman" w:cs="Times New Roman"/>
        </w:rPr>
        <w:t>56% ) patients.  Thirty-six patients (29%) patients complained of dyspnea and 28 (23%) patients presented dysphonia.  Forty-eight patients (39%) had airway edema on fiber optic examination.</w:t>
      </w:r>
    </w:p>
    <w:p w14:paraId="5337F63D"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 </w:t>
      </w:r>
    </w:p>
    <w:p w14:paraId="24EE5841" w14:textId="77777777" w:rsidR="00F45CAF" w:rsidRDefault="00F45CAF" w:rsidP="00F45CAF">
      <w:pPr>
        <w:pStyle w:val="Normale1"/>
        <w:rPr>
          <w:rFonts w:ascii="Times New Roman" w:hAnsi="Times New Roman" w:cs="Times New Roman"/>
        </w:rPr>
      </w:pPr>
      <w:r w:rsidRPr="00E92ADD">
        <w:rPr>
          <w:rFonts w:ascii="Times New Roman" w:hAnsi="Times New Roman" w:cs="Times New Roman"/>
        </w:rPr>
        <w:t>When we considered the different subsites affected odynophagia was the most common symptom in patients with masticatory space involvement (92%), dyspnea was most common in patients with parapharyngeal space involvement, whereas dysphonia was common in patients with prevertebral space involvement (table 2).</w:t>
      </w:r>
    </w:p>
    <w:p w14:paraId="66BC8423"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w:t>
      </w:r>
    </w:p>
    <w:p w14:paraId="69261A57" w14:textId="77777777" w:rsidR="00F45CAF" w:rsidRDefault="00F45CAF" w:rsidP="00F45CAF">
      <w:pPr>
        <w:pStyle w:val="Normale1"/>
        <w:rPr>
          <w:rFonts w:ascii="Times New Roman" w:hAnsi="Times New Roman" w:cs="Times New Roman"/>
          <w:sz w:val="20"/>
          <w:szCs w:val="20"/>
        </w:rPr>
      </w:pPr>
      <w:r>
        <w:rPr>
          <w:rFonts w:ascii="Times New Roman" w:hAnsi="Times New Roman" w:cs="Times New Roman"/>
          <w:sz w:val="20"/>
          <w:szCs w:val="20"/>
        </w:rPr>
        <w:t xml:space="preserve"> Table 2</w:t>
      </w:r>
    </w:p>
    <w:p w14:paraId="75CD5D75" w14:textId="77777777" w:rsidR="00F45CAF" w:rsidRDefault="00F45CAF" w:rsidP="00F45CAF">
      <w:pPr>
        <w:pStyle w:val="Normale1"/>
        <w:rPr>
          <w:rFonts w:ascii="Times New Roman" w:hAnsi="Times New Roman" w:cs="Times New Roman"/>
          <w:sz w:val="20"/>
          <w:szCs w:val="20"/>
        </w:rPr>
      </w:pPr>
      <w:r>
        <w:rPr>
          <w:rFonts w:ascii="Times New Roman" w:hAnsi="Times New Roman" w:cs="Times New Roman"/>
          <w:sz w:val="20"/>
          <w:szCs w:val="20"/>
        </w:rPr>
        <w:t xml:space="preserve"> Association of symptoms with fascial space involved</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3"/>
        <w:gridCol w:w="892"/>
        <w:gridCol w:w="916"/>
        <w:gridCol w:w="1603"/>
        <w:gridCol w:w="1140"/>
        <w:gridCol w:w="1935"/>
      </w:tblGrid>
      <w:tr w:rsidR="00F45CAF" w14:paraId="0419E771" w14:textId="77777777" w:rsidTr="002776EE">
        <w:trPr>
          <w:trHeight w:val="320"/>
        </w:trPr>
        <w:tc>
          <w:tcPr>
            <w:tcW w:w="2533" w:type="dxa"/>
          </w:tcPr>
          <w:p w14:paraId="62875A3F" w14:textId="77777777" w:rsidR="00F45CAF" w:rsidRPr="005B5826" w:rsidRDefault="00F45CAF" w:rsidP="002776EE">
            <w:pPr>
              <w:pStyle w:val="Normale1"/>
              <w:rPr>
                <w:rFonts w:ascii="Times New Roman" w:hAnsi="Times New Roman" w:cs="Times New Roman"/>
                <w:sz w:val="20"/>
                <w:szCs w:val="20"/>
              </w:rPr>
            </w:pPr>
          </w:p>
        </w:tc>
        <w:tc>
          <w:tcPr>
            <w:tcW w:w="892" w:type="dxa"/>
          </w:tcPr>
          <w:p w14:paraId="7D9E0FC1" w14:textId="77777777" w:rsidR="00F45CAF" w:rsidRPr="005B5826" w:rsidRDefault="00F45CAF" w:rsidP="002776EE">
            <w:pPr>
              <w:pStyle w:val="Normale1"/>
              <w:rPr>
                <w:rFonts w:ascii="Times New Roman" w:hAnsi="Times New Roman" w:cs="Times New Roman"/>
                <w:sz w:val="20"/>
                <w:szCs w:val="20"/>
              </w:rPr>
            </w:pPr>
          </w:p>
        </w:tc>
        <w:tc>
          <w:tcPr>
            <w:tcW w:w="916" w:type="dxa"/>
          </w:tcPr>
          <w:p w14:paraId="33CF5C65"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Dyspnea</w:t>
            </w:r>
          </w:p>
        </w:tc>
        <w:tc>
          <w:tcPr>
            <w:tcW w:w="1603" w:type="dxa"/>
          </w:tcPr>
          <w:p w14:paraId="35185D24"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Odynophagia</w:t>
            </w:r>
          </w:p>
        </w:tc>
        <w:tc>
          <w:tcPr>
            <w:tcW w:w="1140" w:type="dxa"/>
          </w:tcPr>
          <w:p w14:paraId="02BA0EBD"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Dysphonia</w:t>
            </w:r>
          </w:p>
        </w:tc>
        <w:tc>
          <w:tcPr>
            <w:tcW w:w="1935" w:type="dxa"/>
          </w:tcPr>
          <w:p w14:paraId="36D42846"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Airway Edema</w:t>
            </w:r>
          </w:p>
        </w:tc>
      </w:tr>
      <w:tr w:rsidR="00F45CAF" w14:paraId="71A5B078" w14:textId="77777777" w:rsidTr="002776EE">
        <w:trPr>
          <w:trHeight w:val="320"/>
        </w:trPr>
        <w:tc>
          <w:tcPr>
            <w:tcW w:w="2533" w:type="dxa"/>
          </w:tcPr>
          <w:p w14:paraId="70D094A4" w14:textId="77777777" w:rsidR="00F45CAF" w:rsidRPr="005B5826" w:rsidRDefault="00F45CAF" w:rsidP="002776EE">
            <w:pPr>
              <w:pStyle w:val="Normale1"/>
              <w:rPr>
                <w:rFonts w:ascii="Times New Roman" w:hAnsi="Times New Roman" w:cs="Times New Roman"/>
                <w:sz w:val="20"/>
                <w:szCs w:val="20"/>
              </w:rPr>
            </w:pPr>
            <w:proofErr w:type="spellStart"/>
            <w:r w:rsidRPr="005B5826">
              <w:rPr>
                <w:rFonts w:ascii="Times New Roman" w:hAnsi="Times New Roman" w:cs="Times New Roman"/>
                <w:sz w:val="20"/>
                <w:szCs w:val="20"/>
              </w:rPr>
              <w:t>Preepiglottic</w:t>
            </w:r>
            <w:proofErr w:type="spellEnd"/>
          </w:p>
        </w:tc>
        <w:tc>
          <w:tcPr>
            <w:tcW w:w="892" w:type="dxa"/>
          </w:tcPr>
          <w:p w14:paraId="0CE3596F"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20</w:t>
            </w:r>
          </w:p>
        </w:tc>
        <w:tc>
          <w:tcPr>
            <w:tcW w:w="916" w:type="dxa"/>
          </w:tcPr>
          <w:p w14:paraId="08EAA290"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20%</w:t>
            </w:r>
          </w:p>
        </w:tc>
        <w:tc>
          <w:tcPr>
            <w:tcW w:w="1603" w:type="dxa"/>
          </w:tcPr>
          <w:p w14:paraId="2C6B1A5F"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30%</w:t>
            </w:r>
          </w:p>
        </w:tc>
        <w:tc>
          <w:tcPr>
            <w:tcW w:w="1140" w:type="dxa"/>
          </w:tcPr>
          <w:p w14:paraId="23DF80DC"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20%</w:t>
            </w:r>
          </w:p>
        </w:tc>
        <w:tc>
          <w:tcPr>
            <w:tcW w:w="1935" w:type="dxa"/>
          </w:tcPr>
          <w:p w14:paraId="505F434D"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25%</w:t>
            </w:r>
          </w:p>
        </w:tc>
      </w:tr>
      <w:tr w:rsidR="00F45CAF" w14:paraId="0AEF0AB2" w14:textId="77777777" w:rsidTr="002776EE">
        <w:trPr>
          <w:trHeight w:val="320"/>
        </w:trPr>
        <w:tc>
          <w:tcPr>
            <w:tcW w:w="2533" w:type="dxa"/>
          </w:tcPr>
          <w:p w14:paraId="7C6FE114"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Submandibular</w:t>
            </w:r>
          </w:p>
        </w:tc>
        <w:tc>
          <w:tcPr>
            <w:tcW w:w="892" w:type="dxa"/>
          </w:tcPr>
          <w:p w14:paraId="6B1AB546"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48</w:t>
            </w:r>
          </w:p>
        </w:tc>
        <w:tc>
          <w:tcPr>
            <w:tcW w:w="916" w:type="dxa"/>
          </w:tcPr>
          <w:p w14:paraId="7AA925C1"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33%</w:t>
            </w:r>
          </w:p>
        </w:tc>
        <w:tc>
          <w:tcPr>
            <w:tcW w:w="1603" w:type="dxa"/>
          </w:tcPr>
          <w:p w14:paraId="461A4989"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79%</w:t>
            </w:r>
          </w:p>
        </w:tc>
        <w:tc>
          <w:tcPr>
            <w:tcW w:w="1140" w:type="dxa"/>
          </w:tcPr>
          <w:p w14:paraId="7983E050"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25%</w:t>
            </w:r>
          </w:p>
        </w:tc>
        <w:tc>
          <w:tcPr>
            <w:tcW w:w="1935" w:type="dxa"/>
          </w:tcPr>
          <w:p w14:paraId="53414B35"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21%</w:t>
            </w:r>
          </w:p>
        </w:tc>
      </w:tr>
      <w:tr w:rsidR="00F45CAF" w14:paraId="402C9080" w14:textId="77777777" w:rsidTr="002776EE">
        <w:trPr>
          <w:trHeight w:val="320"/>
        </w:trPr>
        <w:tc>
          <w:tcPr>
            <w:tcW w:w="2533" w:type="dxa"/>
          </w:tcPr>
          <w:p w14:paraId="0F7A0B5C"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Parapharyngeal</w:t>
            </w:r>
          </w:p>
        </w:tc>
        <w:tc>
          <w:tcPr>
            <w:tcW w:w="892" w:type="dxa"/>
          </w:tcPr>
          <w:p w14:paraId="581280D7"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62</w:t>
            </w:r>
          </w:p>
        </w:tc>
        <w:tc>
          <w:tcPr>
            <w:tcW w:w="916" w:type="dxa"/>
          </w:tcPr>
          <w:p w14:paraId="58E5AFB1"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48%</w:t>
            </w:r>
          </w:p>
        </w:tc>
        <w:tc>
          <w:tcPr>
            <w:tcW w:w="1603" w:type="dxa"/>
          </w:tcPr>
          <w:p w14:paraId="7E91EF3D"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71%</w:t>
            </w:r>
          </w:p>
        </w:tc>
        <w:tc>
          <w:tcPr>
            <w:tcW w:w="1140" w:type="dxa"/>
          </w:tcPr>
          <w:p w14:paraId="3F94047A"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39%</w:t>
            </w:r>
          </w:p>
        </w:tc>
        <w:tc>
          <w:tcPr>
            <w:tcW w:w="1935" w:type="dxa"/>
          </w:tcPr>
          <w:p w14:paraId="2C7C85FA"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32%</w:t>
            </w:r>
          </w:p>
        </w:tc>
      </w:tr>
      <w:tr w:rsidR="00F45CAF" w14:paraId="2748F7D3" w14:textId="77777777" w:rsidTr="002776EE">
        <w:trPr>
          <w:trHeight w:val="320"/>
        </w:trPr>
        <w:tc>
          <w:tcPr>
            <w:tcW w:w="2533" w:type="dxa"/>
          </w:tcPr>
          <w:p w14:paraId="08B05FB0"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Prevertebral</w:t>
            </w:r>
          </w:p>
        </w:tc>
        <w:tc>
          <w:tcPr>
            <w:tcW w:w="892" w:type="dxa"/>
          </w:tcPr>
          <w:p w14:paraId="7153869A"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18</w:t>
            </w:r>
          </w:p>
        </w:tc>
        <w:tc>
          <w:tcPr>
            <w:tcW w:w="916" w:type="dxa"/>
          </w:tcPr>
          <w:p w14:paraId="2C5FAD78"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22%</w:t>
            </w:r>
          </w:p>
        </w:tc>
        <w:tc>
          <w:tcPr>
            <w:tcW w:w="1603" w:type="dxa"/>
          </w:tcPr>
          <w:p w14:paraId="6D8EA13E"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78%</w:t>
            </w:r>
          </w:p>
        </w:tc>
        <w:tc>
          <w:tcPr>
            <w:tcW w:w="1140" w:type="dxa"/>
          </w:tcPr>
          <w:p w14:paraId="13CCC0C3"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56%</w:t>
            </w:r>
          </w:p>
        </w:tc>
        <w:tc>
          <w:tcPr>
            <w:tcW w:w="1935" w:type="dxa"/>
          </w:tcPr>
          <w:p w14:paraId="310BA86C"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28%</w:t>
            </w:r>
          </w:p>
        </w:tc>
      </w:tr>
      <w:tr w:rsidR="00F45CAF" w14:paraId="6410CDE0" w14:textId="77777777" w:rsidTr="002776EE">
        <w:trPr>
          <w:trHeight w:val="320"/>
        </w:trPr>
        <w:tc>
          <w:tcPr>
            <w:tcW w:w="2533" w:type="dxa"/>
          </w:tcPr>
          <w:p w14:paraId="35582328"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Parotid</w:t>
            </w:r>
          </w:p>
        </w:tc>
        <w:tc>
          <w:tcPr>
            <w:tcW w:w="892" w:type="dxa"/>
          </w:tcPr>
          <w:p w14:paraId="114996A4"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14</w:t>
            </w:r>
          </w:p>
        </w:tc>
        <w:tc>
          <w:tcPr>
            <w:tcW w:w="916" w:type="dxa"/>
          </w:tcPr>
          <w:p w14:paraId="4F24D4A3"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29%</w:t>
            </w:r>
          </w:p>
        </w:tc>
        <w:tc>
          <w:tcPr>
            <w:tcW w:w="1603" w:type="dxa"/>
          </w:tcPr>
          <w:p w14:paraId="52FE60DB"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71%</w:t>
            </w:r>
          </w:p>
        </w:tc>
        <w:tc>
          <w:tcPr>
            <w:tcW w:w="1140" w:type="dxa"/>
          </w:tcPr>
          <w:p w14:paraId="03D6A421"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14%</w:t>
            </w:r>
          </w:p>
        </w:tc>
        <w:tc>
          <w:tcPr>
            <w:tcW w:w="1935" w:type="dxa"/>
          </w:tcPr>
          <w:p w14:paraId="5C632F0C"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14%</w:t>
            </w:r>
          </w:p>
        </w:tc>
      </w:tr>
      <w:tr w:rsidR="00F45CAF" w14:paraId="707D61BB" w14:textId="77777777" w:rsidTr="002776EE">
        <w:trPr>
          <w:trHeight w:val="320"/>
        </w:trPr>
        <w:tc>
          <w:tcPr>
            <w:tcW w:w="2533" w:type="dxa"/>
          </w:tcPr>
          <w:p w14:paraId="73B70781"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Masticatory</w:t>
            </w:r>
          </w:p>
        </w:tc>
        <w:tc>
          <w:tcPr>
            <w:tcW w:w="892" w:type="dxa"/>
          </w:tcPr>
          <w:p w14:paraId="4FA7C6BD"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24</w:t>
            </w:r>
          </w:p>
        </w:tc>
        <w:tc>
          <w:tcPr>
            <w:tcW w:w="916" w:type="dxa"/>
          </w:tcPr>
          <w:p w14:paraId="728029A2"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42%</w:t>
            </w:r>
          </w:p>
        </w:tc>
        <w:tc>
          <w:tcPr>
            <w:tcW w:w="1603" w:type="dxa"/>
          </w:tcPr>
          <w:p w14:paraId="39CA180C"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92%</w:t>
            </w:r>
          </w:p>
        </w:tc>
        <w:tc>
          <w:tcPr>
            <w:tcW w:w="1140" w:type="dxa"/>
          </w:tcPr>
          <w:p w14:paraId="1909694A"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33%</w:t>
            </w:r>
          </w:p>
        </w:tc>
        <w:tc>
          <w:tcPr>
            <w:tcW w:w="1935" w:type="dxa"/>
          </w:tcPr>
          <w:p w14:paraId="19190910"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25%</w:t>
            </w:r>
          </w:p>
        </w:tc>
      </w:tr>
      <w:tr w:rsidR="00F45CAF" w14:paraId="4022D204" w14:textId="77777777" w:rsidTr="002776EE">
        <w:trPr>
          <w:trHeight w:val="320"/>
        </w:trPr>
        <w:tc>
          <w:tcPr>
            <w:tcW w:w="2533" w:type="dxa"/>
          </w:tcPr>
          <w:p w14:paraId="151B489C"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lastRenderedPageBreak/>
              <w:t>Carotid</w:t>
            </w:r>
          </w:p>
        </w:tc>
        <w:tc>
          <w:tcPr>
            <w:tcW w:w="892" w:type="dxa"/>
          </w:tcPr>
          <w:p w14:paraId="52BD3DF2"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46</w:t>
            </w:r>
          </w:p>
        </w:tc>
        <w:tc>
          <w:tcPr>
            <w:tcW w:w="916" w:type="dxa"/>
          </w:tcPr>
          <w:p w14:paraId="40FE4C5F"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39%</w:t>
            </w:r>
          </w:p>
        </w:tc>
        <w:tc>
          <w:tcPr>
            <w:tcW w:w="1603" w:type="dxa"/>
          </w:tcPr>
          <w:p w14:paraId="76C4C215"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74%</w:t>
            </w:r>
          </w:p>
        </w:tc>
        <w:tc>
          <w:tcPr>
            <w:tcW w:w="1140" w:type="dxa"/>
          </w:tcPr>
          <w:p w14:paraId="75569D35"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39%</w:t>
            </w:r>
          </w:p>
        </w:tc>
        <w:tc>
          <w:tcPr>
            <w:tcW w:w="1935" w:type="dxa"/>
          </w:tcPr>
          <w:p w14:paraId="16D9E494"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26%</w:t>
            </w:r>
          </w:p>
        </w:tc>
      </w:tr>
      <w:tr w:rsidR="00F45CAF" w14:paraId="6583D9B9" w14:textId="77777777" w:rsidTr="002776EE">
        <w:trPr>
          <w:trHeight w:val="320"/>
        </w:trPr>
        <w:tc>
          <w:tcPr>
            <w:tcW w:w="2533" w:type="dxa"/>
          </w:tcPr>
          <w:p w14:paraId="12DFAB8A" w14:textId="77777777" w:rsidR="00F45CAF" w:rsidRPr="005B5826" w:rsidRDefault="00F45CAF" w:rsidP="002776EE">
            <w:pPr>
              <w:pStyle w:val="Normale1"/>
              <w:rPr>
                <w:rFonts w:ascii="Times New Roman" w:hAnsi="Times New Roman" w:cs="Times New Roman"/>
                <w:sz w:val="20"/>
                <w:szCs w:val="20"/>
              </w:rPr>
            </w:pPr>
            <w:proofErr w:type="spellStart"/>
            <w:r w:rsidRPr="005B5826">
              <w:rPr>
                <w:rFonts w:ascii="Times New Roman" w:hAnsi="Times New Roman" w:cs="Times New Roman"/>
                <w:sz w:val="20"/>
                <w:szCs w:val="20"/>
              </w:rPr>
              <w:t>Pretracheal</w:t>
            </w:r>
            <w:proofErr w:type="spellEnd"/>
          </w:p>
        </w:tc>
        <w:tc>
          <w:tcPr>
            <w:tcW w:w="892" w:type="dxa"/>
          </w:tcPr>
          <w:p w14:paraId="29C47692"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28</w:t>
            </w:r>
          </w:p>
        </w:tc>
        <w:tc>
          <w:tcPr>
            <w:tcW w:w="916" w:type="dxa"/>
          </w:tcPr>
          <w:p w14:paraId="710583AC"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36%</w:t>
            </w:r>
          </w:p>
        </w:tc>
        <w:tc>
          <w:tcPr>
            <w:tcW w:w="1603" w:type="dxa"/>
          </w:tcPr>
          <w:p w14:paraId="7B994602"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50%</w:t>
            </w:r>
          </w:p>
        </w:tc>
        <w:tc>
          <w:tcPr>
            <w:tcW w:w="1140" w:type="dxa"/>
          </w:tcPr>
          <w:p w14:paraId="421FA38D"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14%</w:t>
            </w:r>
          </w:p>
        </w:tc>
        <w:tc>
          <w:tcPr>
            <w:tcW w:w="1935" w:type="dxa"/>
          </w:tcPr>
          <w:p w14:paraId="52D2368E"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18%</w:t>
            </w:r>
          </w:p>
        </w:tc>
      </w:tr>
      <w:tr w:rsidR="00F45CAF" w14:paraId="6F21AC4C" w14:textId="77777777" w:rsidTr="002776EE">
        <w:trPr>
          <w:trHeight w:val="320"/>
        </w:trPr>
        <w:tc>
          <w:tcPr>
            <w:tcW w:w="2533" w:type="dxa"/>
          </w:tcPr>
          <w:p w14:paraId="0E447CE1"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Visceral</w:t>
            </w:r>
          </w:p>
        </w:tc>
        <w:tc>
          <w:tcPr>
            <w:tcW w:w="892" w:type="dxa"/>
          </w:tcPr>
          <w:p w14:paraId="74778213"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34</w:t>
            </w:r>
          </w:p>
        </w:tc>
        <w:tc>
          <w:tcPr>
            <w:tcW w:w="916" w:type="dxa"/>
          </w:tcPr>
          <w:p w14:paraId="27C617E7"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26%</w:t>
            </w:r>
          </w:p>
        </w:tc>
        <w:tc>
          <w:tcPr>
            <w:tcW w:w="1603" w:type="dxa"/>
          </w:tcPr>
          <w:p w14:paraId="758FBC47"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59%</w:t>
            </w:r>
          </w:p>
        </w:tc>
        <w:tc>
          <w:tcPr>
            <w:tcW w:w="1140" w:type="dxa"/>
          </w:tcPr>
          <w:p w14:paraId="2636D4F3"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35%</w:t>
            </w:r>
          </w:p>
        </w:tc>
        <w:tc>
          <w:tcPr>
            <w:tcW w:w="1935" w:type="dxa"/>
          </w:tcPr>
          <w:p w14:paraId="20942A26" w14:textId="77777777" w:rsidR="00F45CAF" w:rsidRPr="005B5826" w:rsidRDefault="00F45CAF" w:rsidP="002776EE">
            <w:pPr>
              <w:pStyle w:val="Normale1"/>
              <w:rPr>
                <w:rFonts w:ascii="Times New Roman" w:hAnsi="Times New Roman" w:cs="Times New Roman"/>
                <w:sz w:val="20"/>
                <w:szCs w:val="20"/>
              </w:rPr>
            </w:pPr>
            <w:r w:rsidRPr="005B5826">
              <w:rPr>
                <w:rFonts w:ascii="Times New Roman" w:hAnsi="Times New Roman" w:cs="Times New Roman"/>
                <w:sz w:val="20"/>
                <w:szCs w:val="20"/>
              </w:rPr>
              <w:t>38%</w:t>
            </w:r>
          </w:p>
        </w:tc>
      </w:tr>
    </w:tbl>
    <w:p w14:paraId="79DBDE29" w14:textId="77777777" w:rsidR="00F45CAF" w:rsidRDefault="00F45CAF" w:rsidP="00F45CAF">
      <w:pPr>
        <w:pStyle w:val="Normale1"/>
        <w:rPr>
          <w:rFonts w:ascii="Times New Roman" w:hAnsi="Times New Roman" w:cs="Times New Roman"/>
          <w:sz w:val="20"/>
          <w:szCs w:val="20"/>
        </w:rPr>
      </w:pPr>
      <w:r>
        <w:rPr>
          <w:rFonts w:ascii="Times New Roman" w:hAnsi="Times New Roman" w:cs="Times New Roman"/>
          <w:sz w:val="20"/>
          <w:szCs w:val="20"/>
        </w:rPr>
        <w:t xml:space="preserve"> </w:t>
      </w:r>
    </w:p>
    <w:p w14:paraId="02E6C329"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w:t>
      </w:r>
    </w:p>
    <w:p w14:paraId="69D99D89" w14:textId="77777777" w:rsidR="00F45CAF" w:rsidRDefault="00F45CAF" w:rsidP="00F45CAF">
      <w:pPr>
        <w:pStyle w:val="Normale1"/>
        <w:rPr>
          <w:rFonts w:ascii="Times New Roman" w:hAnsi="Times New Roman" w:cs="Times New Roman"/>
        </w:rPr>
      </w:pPr>
      <w:r>
        <w:rPr>
          <w:rFonts w:ascii="Times New Roman" w:hAnsi="Times New Roman" w:cs="Times New Roman"/>
        </w:rPr>
        <w:t xml:space="preserve"> </w:t>
      </w:r>
    </w:p>
    <w:p w14:paraId="5C7D7FF7"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Complications</w:t>
      </w:r>
    </w:p>
    <w:p w14:paraId="55A3067D"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Eleven patients had mediastinitis, 3 patients had internal jugular vein thrombosis, one patient had a pulmonary </w:t>
      </w:r>
      <w:proofErr w:type="gramStart"/>
      <w:r w:rsidRPr="00E92ADD">
        <w:rPr>
          <w:rFonts w:ascii="Times New Roman" w:hAnsi="Times New Roman" w:cs="Times New Roman"/>
        </w:rPr>
        <w:t>embolism,  one</w:t>
      </w:r>
      <w:proofErr w:type="gramEnd"/>
      <w:r w:rsidRPr="00E92ADD">
        <w:rPr>
          <w:rFonts w:ascii="Times New Roman" w:hAnsi="Times New Roman" w:cs="Times New Roman"/>
        </w:rPr>
        <w:t xml:space="preserve"> patient had transverse sinus thrombosis, and one patient had facial nerve paralysis.   The overall mortality rate was 0,8% due to a patient with an extended parapharyngeal who died because of ischemic brain damage due to airway obstruction before the urgent tracheostomy.</w:t>
      </w:r>
    </w:p>
    <w:p w14:paraId="6A3CC87E"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Revision surgery was required in 32 % of cases (40 patients). </w:t>
      </w:r>
    </w:p>
    <w:p w14:paraId="38E476DF" w14:textId="77777777" w:rsidR="00F45CAF" w:rsidRDefault="00F45CAF" w:rsidP="00F45CAF">
      <w:pPr>
        <w:pStyle w:val="Normale1"/>
        <w:rPr>
          <w:rFonts w:ascii="Times New Roman" w:hAnsi="Times New Roman" w:cs="Times New Roman"/>
        </w:rPr>
      </w:pPr>
      <w:r w:rsidRPr="00E92ADD">
        <w:rPr>
          <w:rFonts w:ascii="Times New Roman" w:hAnsi="Times New Roman" w:cs="Times New Roman"/>
        </w:rPr>
        <w:t xml:space="preserve">Acute airway management was required in   26% of patients.   In particular, tracheostomy was required in 10 % of cases </w:t>
      </w:r>
      <w:proofErr w:type="gramStart"/>
      <w:r w:rsidRPr="00E92ADD">
        <w:rPr>
          <w:rFonts w:ascii="Times New Roman" w:hAnsi="Times New Roman" w:cs="Times New Roman"/>
        </w:rPr>
        <w:t>( 12</w:t>
      </w:r>
      <w:proofErr w:type="gramEnd"/>
      <w:r w:rsidRPr="00E92ADD">
        <w:rPr>
          <w:rFonts w:ascii="Times New Roman" w:hAnsi="Times New Roman" w:cs="Times New Roman"/>
        </w:rPr>
        <w:t xml:space="preserve"> patients) and early intubation was required in 16% of cases (20 patients).</w:t>
      </w:r>
      <w:r>
        <w:rPr>
          <w:rFonts w:ascii="Times New Roman" w:hAnsi="Times New Roman" w:cs="Times New Roman"/>
        </w:rPr>
        <w:t xml:space="preserve"> </w:t>
      </w:r>
    </w:p>
    <w:p w14:paraId="2FB10E79" w14:textId="77777777" w:rsidR="00F45CAF" w:rsidRDefault="00F45CAF" w:rsidP="00F45CAF">
      <w:pPr>
        <w:pStyle w:val="Normale1"/>
        <w:rPr>
          <w:rFonts w:ascii="Times New Roman" w:hAnsi="Times New Roman" w:cs="Times New Roman"/>
        </w:rPr>
      </w:pPr>
    </w:p>
    <w:p w14:paraId="3684FA0B" w14:textId="77777777" w:rsidR="00F45CAF" w:rsidRDefault="00F45CAF" w:rsidP="00F45CAF">
      <w:pPr>
        <w:pStyle w:val="Normale1"/>
        <w:rPr>
          <w:rFonts w:ascii="Times New Roman" w:hAnsi="Times New Roman" w:cs="Times New Roman"/>
          <w:color w:val="FF0000"/>
        </w:rPr>
      </w:pPr>
      <w:r>
        <w:rPr>
          <w:rFonts w:ascii="Times New Roman" w:hAnsi="Times New Roman" w:cs="Times New Roman"/>
          <w:color w:val="FF0000"/>
        </w:rPr>
        <w:t xml:space="preserve">In hospital stay </w:t>
      </w:r>
      <w:proofErr w:type="gramStart"/>
      <w:r>
        <w:rPr>
          <w:rFonts w:ascii="Times New Roman" w:hAnsi="Times New Roman" w:cs="Times New Roman"/>
          <w:color w:val="FF0000"/>
        </w:rPr>
        <w:t>and  multiple</w:t>
      </w:r>
      <w:proofErr w:type="gramEnd"/>
      <w:r>
        <w:rPr>
          <w:rFonts w:ascii="Times New Roman" w:hAnsi="Times New Roman" w:cs="Times New Roman"/>
          <w:color w:val="FF0000"/>
        </w:rPr>
        <w:t xml:space="preserve"> fascial space involvement</w:t>
      </w:r>
    </w:p>
    <w:p w14:paraId="267959C8" w14:textId="77777777" w:rsidR="00F45CAF" w:rsidRDefault="00F45CAF" w:rsidP="00F45CAF">
      <w:pPr>
        <w:pStyle w:val="Normale1"/>
        <w:rPr>
          <w:rFonts w:ascii="Times New Roman" w:hAnsi="Times New Roman" w:cs="Times New Roman"/>
          <w:color w:val="FF0000"/>
        </w:rPr>
      </w:pPr>
      <w:r>
        <w:rPr>
          <w:rFonts w:ascii="Times New Roman" w:hAnsi="Times New Roman" w:cs="Times New Roman"/>
          <w:color w:val="FF0000"/>
        </w:rPr>
        <w:t xml:space="preserve"> </w:t>
      </w:r>
    </w:p>
    <w:p w14:paraId="187602B5" w14:textId="77777777" w:rsidR="00F45CAF" w:rsidRDefault="00F45CAF" w:rsidP="00F45CAF">
      <w:pPr>
        <w:pStyle w:val="Normale1"/>
        <w:rPr>
          <w:rFonts w:ascii="Times New Roman" w:hAnsi="Times New Roman" w:cs="Times New Roman"/>
          <w:color w:val="000000"/>
        </w:rPr>
      </w:pPr>
      <w:r>
        <w:rPr>
          <w:rFonts w:ascii="FrutigerLT" w:hAnsi="FrutigerLT" w:cs="FrutigerLT"/>
          <w:i/>
          <w:color w:val="000000"/>
          <w:sz w:val="16"/>
          <w:szCs w:val="16"/>
        </w:rPr>
        <w:t xml:space="preserve">odds ratio calculated by logistic regression model: for more than two involved neck spaces </w:t>
      </w:r>
    </w:p>
    <w:p w14:paraId="0252A450" w14:textId="77777777" w:rsidR="00F45CAF" w:rsidRDefault="00F45CAF" w:rsidP="00F45CAF">
      <w:pPr>
        <w:pStyle w:val="Normale1"/>
        <w:rPr>
          <w:rFonts w:ascii="Times New Roman" w:hAnsi="Times New Roman" w:cs="Times New Roman"/>
          <w:color w:val="FF0000"/>
        </w:rPr>
      </w:pPr>
    </w:p>
    <w:p w14:paraId="37763A46" w14:textId="77777777" w:rsidR="00F45CAF" w:rsidRDefault="00F45CAF" w:rsidP="00F45CAF">
      <w:pPr>
        <w:pStyle w:val="Normale1"/>
        <w:rPr>
          <w:rFonts w:ascii="Times New Roman" w:hAnsi="Times New Roman" w:cs="Times New Roman"/>
        </w:rPr>
      </w:pPr>
    </w:p>
    <w:p w14:paraId="4DA66586" w14:textId="77777777" w:rsidR="00F45CAF" w:rsidRDefault="00F45CAF" w:rsidP="00F45CAF">
      <w:pPr>
        <w:pStyle w:val="Normale1"/>
        <w:rPr>
          <w:rFonts w:ascii="Times New Roman" w:hAnsi="Times New Roman" w:cs="Times New Roman"/>
        </w:rPr>
      </w:pPr>
    </w:p>
    <w:p w14:paraId="0391AB36" w14:textId="77777777" w:rsidR="00F45CAF" w:rsidRDefault="00F45CAF" w:rsidP="00F45CAF">
      <w:pPr>
        <w:pStyle w:val="Normale1"/>
        <w:rPr>
          <w:rFonts w:ascii="Times New Roman" w:hAnsi="Times New Roman" w:cs="Times New Roman"/>
        </w:rPr>
      </w:pPr>
    </w:p>
    <w:p w14:paraId="0661EED1"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Prospective survey </w:t>
      </w:r>
    </w:p>
    <w:p w14:paraId="7613843D"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75 patients out of 124 were interviewed telephonically.  </w:t>
      </w:r>
    </w:p>
    <w:p w14:paraId="65C520D4" w14:textId="77777777" w:rsidR="00F45CAF" w:rsidRPr="00E92ADD" w:rsidRDefault="00F45CAF" w:rsidP="00F45CAF">
      <w:pPr>
        <w:pStyle w:val="Normale1"/>
        <w:rPr>
          <w:rFonts w:ascii="Times New Roman" w:hAnsi="Times New Roman" w:cs="Times New Roman"/>
        </w:rPr>
      </w:pPr>
      <w:r w:rsidRPr="00E92ADD">
        <w:rPr>
          <w:rFonts w:ascii="Times New Roman" w:hAnsi="Times New Roman" w:cs="Times New Roman"/>
        </w:rPr>
        <w:t xml:space="preserve">49 patients were lost to follow-up because they were untraceable or declared dead. </w:t>
      </w:r>
    </w:p>
    <w:p w14:paraId="56894AD8" w14:textId="77777777" w:rsidR="00F45CAF" w:rsidRDefault="00F45CAF" w:rsidP="00F45CAF">
      <w:pPr>
        <w:pStyle w:val="Normale1"/>
        <w:rPr>
          <w:rFonts w:ascii="Times New Roman" w:hAnsi="Times New Roman" w:cs="Times New Roman"/>
        </w:rPr>
      </w:pPr>
      <w:r w:rsidRPr="00E92ADD">
        <w:rPr>
          <w:rFonts w:ascii="Times New Roman" w:hAnsi="Times New Roman" w:cs="Times New Roman"/>
        </w:rPr>
        <w:t>Among the 75 patients interviewed, 41 patients were excluded from the interview because they had other diseases that may be associated with dysphagia or shoulder disability (Orthopedic interventions, neurologic diseases, or trauma). In terms of long term dysphagia, 6 total patients (17</w:t>
      </w:r>
      <w:proofErr w:type="gramStart"/>
      <w:r w:rsidRPr="00E92ADD">
        <w:rPr>
          <w:rFonts w:ascii="Times New Roman" w:hAnsi="Times New Roman" w:cs="Times New Roman"/>
        </w:rPr>
        <w:t>%)  out</w:t>
      </w:r>
      <w:proofErr w:type="gramEnd"/>
      <w:r w:rsidRPr="00E92ADD">
        <w:rPr>
          <w:rFonts w:ascii="Times New Roman" w:hAnsi="Times New Roman" w:cs="Times New Roman"/>
        </w:rPr>
        <w:t xml:space="preserve"> of 34 reported an EAT-10 score of 3 or greater, with an average EAT-10 score of 4.9 (Table 3).</w:t>
      </w:r>
    </w:p>
    <w:p w14:paraId="6C091489" w14:textId="77777777" w:rsidR="00F45CAF" w:rsidRDefault="00F45CAF" w:rsidP="00F45CAF">
      <w:pPr>
        <w:pStyle w:val="Normale1"/>
        <w:rPr>
          <w:rFonts w:ascii="Times New Roman" w:hAnsi="Times New Roman" w:cs="Times New Roman"/>
        </w:rPr>
      </w:pPr>
    </w:p>
    <w:p w14:paraId="3365C455" w14:textId="77777777" w:rsidR="00F45CAF" w:rsidRDefault="00F45CAF" w:rsidP="00F45CAF">
      <w:pPr>
        <w:pStyle w:val="Normale1"/>
        <w:rPr>
          <w:rFonts w:ascii="Times New Roman" w:hAnsi="Times New Roman" w:cs="Times New Roman"/>
        </w:rPr>
      </w:pPr>
    </w:p>
    <w:p w14:paraId="6229AE65" w14:textId="77777777" w:rsidR="00F45CAF" w:rsidRDefault="00F45CAF" w:rsidP="00F45CAF">
      <w:pPr>
        <w:pStyle w:val="Normale1"/>
        <w:rPr>
          <w:rFonts w:ascii="Times New Roman" w:hAnsi="Times New Roman" w:cs="Times New Roman"/>
          <w:color w:val="FF0000"/>
        </w:rPr>
      </w:pPr>
      <w:r>
        <w:rPr>
          <w:rFonts w:ascii="Times New Roman" w:hAnsi="Times New Roman" w:cs="Times New Roman"/>
          <w:color w:val="FF0000"/>
        </w:rPr>
        <w:t xml:space="preserve">A summary of EAT-10 results </w:t>
      </w:r>
      <w:proofErr w:type="gramStart"/>
      <w:r>
        <w:rPr>
          <w:rFonts w:ascii="Times New Roman" w:hAnsi="Times New Roman" w:cs="Times New Roman"/>
          <w:color w:val="FF0000"/>
        </w:rPr>
        <w:t>are</w:t>
      </w:r>
      <w:proofErr w:type="gramEnd"/>
      <w:r>
        <w:rPr>
          <w:rFonts w:ascii="Times New Roman" w:hAnsi="Times New Roman" w:cs="Times New Roman"/>
          <w:color w:val="FF0000"/>
        </w:rPr>
        <w:t xml:space="preserve"> presented in Table 3. </w:t>
      </w:r>
    </w:p>
    <w:p w14:paraId="74143766" w14:textId="77777777" w:rsidR="00F45CAF" w:rsidRDefault="00F45CAF" w:rsidP="00F45CAF">
      <w:pPr>
        <w:pStyle w:val="Normale1"/>
        <w:rPr>
          <w:rFonts w:ascii="Times New Roman" w:hAnsi="Times New Roman" w:cs="Times New Roman"/>
          <w:color w:val="FF0000"/>
        </w:rPr>
      </w:pPr>
    </w:p>
    <w:tbl>
      <w:tblPr>
        <w:tblW w:w="117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40"/>
        <w:gridCol w:w="3220"/>
        <w:gridCol w:w="3820"/>
      </w:tblGrid>
      <w:tr w:rsidR="00F45CAF" w:rsidRPr="00E57CEC" w14:paraId="7743609A" w14:textId="77777777" w:rsidTr="002776EE">
        <w:trPr>
          <w:trHeight w:val="320"/>
        </w:trPr>
        <w:tc>
          <w:tcPr>
            <w:tcW w:w="4740" w:type="dxa"/>
            <w:shd w:val="clear" w:color="auto" w:fill="auto"/>
            <w:noWrap/>
            <w:hideMark/>
          </w:tcPr>
          <w:p w14:paraId="469E34AC" w14:textId="77777777" w:rsidR="00F45CAF" w:rsidRPr="00EE31F1" w:rsidRDefault="00F45CAF" w:rsidP="002776EE">
            <w:pPr>
              <w:rPr>
                <w:sz w:val="20"/>
                <w:szCs w:val="20"/>
                <w:lang w:val="en-US"/>
              </w:rPr>
            </w:pPr>
          </w:p>
        </w:tc>
        <w:tc>
          <w:tcPr>
            <w:tcW w:w="3220" w:type="dxa"/>
            <w:shd w:val="clear" w:color="auto" w:fill="auto"/>
            <w:noWrap/>
            <w:hideMark/>
          </w:tcPr>
          <w:p w14:paraId="3E5784A0" w14:textId="77777777" w:rsidR="00F45CAF" w:rsidRPr="00E57CEC" w:rsidRDefault="00F45CAF" w:rsidP="002776EE">
            <w:pPr>
              <w:rPr>
                <w:rFonts w:ascii="Cambria" w:hAnsi="Cambria" w:cs="Arial"/>
                <w:b/>
                <w:bCs/>
              </w:rPr>
            </w:pPr>
            <w:r w:rsidRPr="00E57CEC">
              <w:rPr>
                <w:rFonts w:ascii="Cambria" w:hAnsi="Cambria" w:cs="Arial"/>
                <w:b/>
                <w:bCs/>
              </w:rPr>
              <w:t>EAT-10 &gt; 3</w:t>
            </w:r>
          </w:p>
        </w:tc>
        <w:tc>
          <w:tcPr>
            <w:tcW w:w="3820" w:type="dxa"/>
            <w:shd w:val="clear" w:color="auto" w:fill="auto"/>
            <w:noWrap/>
            <w:hideMark/>
          </w:tcPr>
          <w:p w14:paraId="3E87B54F" w14:textId="77777777" w:rsidR="00F45CAF" w:rsidRPr="00E57CEC" w:rsidRDefault="00F45CAF" w:rsidP="002776EE">
            <w:pPr>
              <w:rPr>
                <w:rFonts w:ascii="Cambria" w:hAnsi="Cambria" w:cs="Arial"/>
                <w:b/>
                <w:bCs/>
              </w:rPr>
            </w:pPr>
            <w:r w:rsidRPr="00E57CEC">
              <w:rPr>
                <w:rFonts w:ascii="Cambria" w:hAnsi="Cambria" w:cs="Arial"/>
                <w:b/>
                <w:bCs/>
              </w:rPr>
              <w:t>EAT-10 &lt; 3</w:t>
            </w:r>
          </w:p>
        </w:tc>
      </w:tr>
      <w:tr w:rsidR="00F45CAF" w:rsidRPr="00E57CEC" w14:paraId="2D5744D7" w14:textId="77777777" w:rsidTr="002776EE">
        <w:trPr>
          <w:trHeight w:val="320"/>
        </w:trPr>
        <w:tc>
          <w:tcPr>
            <w:tcW w:w="4740" w:type="dxa"/>
            <w:shd w:val="clear" w:color="auto" w:fill="auto"/>
            <w:noWrap/>
            <w:hideMark/>
          </w:tcPr>
          <w:p w14:paraId="6EDDEA08" w14:textId="77777777" w:rsidR="00F45CAF" w:rsidRPr="00E57CEC" w:rsidRDefault="00F45CAF" w:rsidP="002776EE">
            <w:pPr>
              <w:rPr>
                <w:rFonts w:ascii="Cambria" w:hAnsi="Cambria" w:cs="Arial"/>
              </w:rPr>
            </w:pPr>
            <w:proofErr w:type="spellStart"/>
            <w:r w:rsidRPr="00E57CEC">
              <w:rPr>
                <w:rFonts w:ascii="Cambria" w:hAnsi="Cambria" w:cs="Arial"/>
              </w:rPr>
              <w:t>Number</w:t>
            </w:r>
            <w:proofErr w:type="spellEnd"/>
            <w:r w:rsidRPr="00E57CEC">
              <w:rPr>
                <w:rFonts w:ascii="Cambria" w:hAnsi="Cambria" w:cs="Arial"/>
              </w:rPr>
              <w:t xml:space="preserve"> of </w:t>
            </w:r>
            <w:proofErr w:type="spellStart"/>
            <w:r w:rsidRPr="00E57CEC">
              <w:rPr>
                <w:rFonts w:ascii="Cambria" w:hAnsi="Cambria" w:cs="Arial"/>
              </w:rPr>
              <w:t>patients</w:t>
            </w:r>
            <w:proofErr w:type="spellEnd"/>
          </w:p>
        </w:tc>
        <w:tc>
          <w:tcPr>
            <w:tcW w:w="3220" w:type="dxa"/>
            <w:shd w:val="clear" w:color="auto" w:fill="auto"/>
            <w:noWrap/>
            <w:hideMark/>
          </w:tcPr>
          <w:p w14:paraId="526818EF" w14:textId="77777777" w:rsidR="00F45CAF" w:rsidRPr="00E57CEC" w:rsidRDefault="00F45CAF" w:rsidP="002776EE">
            <w:pPr>
              <w:rPr>
                <w:rFonts w:ascii="Cambria" w:hAnsi="Cambria" w:cs="Arial"/>
              </w:rPr>
            </w:pPr>
            <w:r w:rsidRPr="00E57CEC">
              <w:rPr>
                <w:rFonts w:ascii="Cambria" w:hAnsi="Cambria" w:cs="Arial"/>
              </w:rPr>
              <w:t>6/34 (18%)</w:t>
            </w:r>
          </w:p>
        </w:tc>
        <w:tc>
          <w:tcPr>
            <w:tcW w:w="3820" w:type="dxa"/>
            <w:shd w:val="clear" w:color="auto" w:fill="auto"/>
            <w:noWrap/>
            <w:hideMark/>
          </w:tcPr>
          <w:p w14:paraId="7E91758B" w14:textId="77777777" w:rsidR="00F45CAF" w:rsidRPr="00E57CEC" w:rsidRDefault="00F45CAF" w:rsidP="002776EE">
            <w:pPr>
              <w:rPr>
                <w:rFonts w:ascii="Cambria" w:hAnsi="Cambria" w:cs="Arial"/>
              </w:rPr>
            </w:pPr>
            <w:r w:rsidRPr="00E57CEC">
              <w:rPr>
                <w:rFonts w:ascii="Cambria" w:hAnsi="Cambria" w:cs="Arial"/>
              </w:rPr>
              <w:t>28/34 (826%)</w:t>
            </w:r>
          </w:p>
        </w:tc>
      </w:tr>
      <w:tr w:rsidR="00F45CAF" w:rsidRPr="00E57CEC" w14:paraId="5337A14A" w14:textId="77777777" w:rsidTr="002776EE">
        <w:trPr>
          <w:trHeight w:val="320"/>
        </w:trPr>
        <w:tc>
          <w:tcPr>
            <w:tcW w:w="4740" w:type="dxa"/>
            <w:shd w:val="clear" w:color="auto" w:fill="auto"/>
            <w:noWrap/>
            <w:hideMark/>
          </w:tcPr>
          <w:p w14:paraId="07F8C2F3" w14:textId="77777777" w:rsidR="00F45CAF" w:rsidRPr="00E57CEC" w:rsidRDefault="00F45CAF" w:rsidP="002776EE">
            <w:pPr>
              <w:rPr>
                <w:rFonts w:ascii="Cambria" w:hAnsi="Cambria" w:cs="Arial"/>
              </w:rPr>
            </w:pPr>
            <w:proofErr w:type="spellStart"/>
            <w:r w:rsidRPr="00E57CEC">
              <w:rPr>
                <w:rFonts w:ascii="Cambria" w:hAnsi="Cambria" w:cs="Arial"/>
              </w:rPr>
              <w:t>Females</w:t>
            </w:r>
            <w:proofErr w:type="spellEnd"/>
          </w:p>
        </w:tc>
        <w:tc>
          <w:tcPr>
            <w:tcW w:w="3220" w:type="dxa"/>
            <w:shd w:val="clear" w:color="auto" w:fill="auto"/>
            <w:noWrap/>
            <w:hideMark/>
          </w:tcPr>
          <w:p w14:paraId="6D5BABC2" w14:textId="77777777" w:rsidR="00F45CAF" w:rsidRPr="00E57CEC" w:rsidRDefault="00F45CAF" w:rsidP="002776EE">
            <w:pPr>
              <w:rPr>
                <w:rFonts w:ascii="Cambria" w:hAnsi="Cambria" w:cs="Arial"/>
              </w:rPr>
            </w:pPr>
            <w:r w:rsidRPr="00E57CEC">
              <w:rPr>
                <w:rFonts w:ascii="Cambria" w:hAnsi="Cambria" w:cs="Arial"/>
              </w:rPr>
              <w:t>75%</w:t>
            </w:r>
          </w:p>
        </w:tc>
        <w:tc>
          <w:tcPr>
            <w:tcW w:w="3820" w:type="dxa"/>
            <w:shd w:val="clear" w:color="auto" w:fill="auto"/>
            <w:noWrap/>
            <w:hideMark/>
          </w:tcPr>
          <w:p w14:paraId="70D91641" w14:textId="77777777" w:rsidR="00F45CAF" w:rsidRPr="00E57CEC" w:rsidRDefault="00F45CAF" w:rsidP="002776EE">
            <w:pPr>
              <w:rPr>
                <w:rFonts w:ascii="Cambria" w:hAnsi="Cambria" w:cs="Arial"/>
              </w:rPr>
            </w:pPr>
            <w:r w:rsidRPr="00E57CEC">
              <w:rPr>
                <w:rFonts w:ascii="Cambria" w:hAnsi="Cambria" w:cs="Arial"/>
              </w:rPr>
              <w:t>39%</w:t>
            </w:r>
          </w:p>
        </w:tc>
      </w:tr>
      <w:tr w:rsidR="00F45CAF" w:rsidRPr="00E57CEC" w14:paraId="50E83AE8" w14:textId="77777777" w:rsidTr="002776EE">
        <w:trPr>
          <w:trHeight w:val="320"/>
        </w:trPr>
        <w:tc>
          <w:tcPr>
            <w:tcW w:w="4740" w:type="dxa"/>
            <w:shd w:val="clear" w:color="auto" w:fill="auto"/>
            <w:noWrap/>
            <w:hideMark/>
          </w:tcPr>
          <w:p w14:paraId="18338075" w14:textId="77777777" w:rsidR="00F45CAF" w:rsidRPr="00E57CEC" w:rsidRDefault="00F45CAF" w:rsidP="002776EE">
            <w:pPr>
              <w:rPr>
                <w:rFonts w:ascii="Cambria" w:hAnsi="Cambria" w:cs="Arial"/>
              </w:rPr>
            </w:pPr>
            <w:proofErr w:type="spellStart"/>
            <w:r w:rsidRPr="00E57CEC">
              <w:rPr>
                <w:rFonts w:ascii="Cambria" w:hAnsi="Cambria" w:cs="Arial"/>
              </w:rPr>
              <w:t>Males</w:t>
            </w:r>
            <w:proofErr w:type="spellEnd"/>
          </w:p>
        </w:tc>
        <w:tc>
          <w:tcPr>
            <w:tcW w:w="3220" w:type="dxa"/>
            <w:shd w:val="clear" w:color="auto" w:fill="auto"/>
            <w:noWrap/>
            <w:hideMark/>
          </w:tcPr>
          <w:p w14:paraId="0AD3C38D" w14:textId="77777777" w:rsidR="00F45CAF" w:rsidRPr="00E57CEC" w:rsidRDefault="00F45CAF" w:rsidP="002776EE">
            <w:pPr>
              <w:rPr>
                <w:rFonts w:ascii="Cambria" w:hAnsi="Cambria" w:cs="Arial"/>
              </w:rPr>
            </w:pPr>
            <w:r w:rsidRPr="00E57CEC">
              <w:rPr>
                <w:rFonts w:ascii="Cambria" w:hAnsi="Cambria" w:cs="Arial"/>
              </w:rPr>
              <w:t>25%</w:t>
            </w:r>
          </w:p>
        </w:tc>
        <w:tc>
          <w:tcPr>
            <w:tcW w:w="3820" w:type="dxa"/>
            <w:shd w:val="clear" w:color="auto" w:fill="auto"/>
            <w:noWrap/>
            <w:hideMark/>
          </w:tcPr>
          <w:p w14:paraId="7901B0CA" w14:textId="77777777" w:rsidR="00F45CAF" w:rsidRPr="00E57CEC" w:rsidRDefault="00F45CAF" w:rsidP="002776EE">
            <w:pPr>
              <w:rPr>
                <w:rFonts w:ascii="Cambria" w:hAnsi="Cambria" w:cs="Arial"/>
              </w:rPr>
            </w:pPr>
            <w:r w:rsidRPr="00E57CEC">
              <w:rPr>
                <w:rFonts w:ascii="Cambria" w:hAnsi="Cambria" w:cs="Arial"/>
              </w:rPr>
              <w:t>61%</w:t>
            </w:r>
          </w:p>
        </w:tc>
      </w:tr>
      <w:tr w:rsidR="00F45CAF" w:rsidRPr="00E57CEC" w14:paraId="06718382" w14:textId="77777777" w:rsidTr="002776EE">
        <w:trPr>
          <w:trHeight w:val="320"/>
        </w:trPr>
        <w:tc>
          <w:tcPr>
            <w:tcW w:w="4740" w:type="dxa"/>
            <w:shd w:val="clear" w:color="auto" w:fill="auto"/>
            <w:noWrap/>
            <w:hideMark/>
          </w:tcPr>
          <w:p w14:paraId="7828A421" w14:textId="77777777" w:rsidR="00F45CAF" w:rsidRPr="00E57CEC" w:rsidRDefault="00F45CAF" w:rsidP="002776EE">
            <w:pPr>
              <w:rPr>
                <w:rFonts w:ascii="Cambria" w:hAnsi="Cambria" w:cs="Arial"/>
              </w:rPr>
            </w:pPr>
            <w:proofErr w:type="spellStart"/>
            <w:r w:rsidRPr="00E57CEC">
              <w:rPr>
                <w:rFonts w:ascii="Cambria" w:hAnsi="Cambria" w:cs="Arial"/>
              </w:rPr>
              <w:t>Mean</w:t>
            </w:r>
            <w:proofErr w:type="spellEnd"/>
            <w:r w:rsidRPr="00E57CEC">
              <w:rPr>
                <w:rFonts w:ascii="Cambria" w:hAnsi="Cambria" w:cs="Arial"/>
              </w:rPr>
              <w:t xml:space="preserve"> </w:t>
            </w:r>
            <w:proofErr w:type="spellStart"/>
            <w:r w:rsidRPr="00E57CEC">
              <w:rPr>
                <w:rFonts w:ascii="Cambria" w:hAnsi="Cambria" w:cs="Arial"/>
              </w:rPr>
              <w:t>age</w:t>
            </w:r>
            <w:proofErr w:type="spellEnd"/>
            <w:r w:rsidRPr="00E57CEC">
              <w:rPr>
                <w:rFonts w:ascii="Cambria" w:hAnsi="Cambria" w:cs="Arial"/>
              </w:rPr>
              <w:t xml:space="preserve"> (</w:t>
            </w:r>
            <w:proofErr w:type="spellStart"/>
            <w:r w:rsidRPr="00E57CEC">
              <w:rPr>
                <w:rFonts w:ascii="Cambria" w:hAnsi="Cambria" w:cs="Arial"/>
              </w:rPr>
              <w:t>years</w:t>
            </w:r>
            <w:proofErr w:type="spellEnd"/>
            <w:r w:rsidRPr="00E57CEC">
              <w:rPr>
                <w:rFonts w:ascii="Cambria" w:hAnsi="Cambria" w:cs="Arial"/>
              </w:rPr>
              <w:t>)</w:t>
            </w:r>
          </w:p>
        </w:tc>
        <w:tc>
          <w:tcPr>
            <w:tcW w:w="3220" w:type="dxa"/>
            <w:shd w:val="clear" w:color="auto" w:fill="auto"/>
            <w:noWrap/>
            <w:hideMark/>
          </w:tcPr>
          <w:p w14:paraId="4A2D7BA0" w14:textId="77777777" w:rsidR="00F45CAF" w:rsidRPr="00E57CEC" w:rsidRDefault="00F45CAF" w:rsidP="002776EE">
            <w:pPr>
              <w:rPr>
                <w:rFonts w:ascii="Cambria" w:hAnsi="Cambria" w:cs="Arial"/>
              </w:rPr>
            </w:pPr>
            <w:r w:rsidRPr="00E57CEC">
              <w:rPr>
                <w:rFonts w:ascii="Cambria" w:hAnsi="Cambria" w:cs="Arial"/>
              </w:rPr>
              <w:t>54 (± 19.23)</w:t>
            </w:r>
          </w:p>
        </w:tc>
        <w:tc>
          <w:tcPr>
            <w:tcW w:w="3820" w:type="dxa"/>
            <w:shd w:val="clear" w:color="auto" w:fill="auto"/>
            <w:noWrap/>
            <w:hideMark/>
          </w:tcPr>
          <w:p w14:paraId="4DEC89DB" w14:textId="77777777" w:rsidR="00F45CAF" w:rsidRPr="00E57CEC" w:rsidRDefault="00F45CAF" w:rsidP="002776EE">
            <w:pPr>
              <w:rPr>
                <w:rFonts w:ascii="Cambria" w:hAnsi="Cambria" w:cs="Arial"/>
              </w:rPr>
            </w:pPr>
            <w:r w:rsidRPr="00E57CEC">
              <w:rPr>
                <w:rFonts w:ascii="Cambria" w:hAnsi="Cambria" w:cs="Arial"/>
              </w:rPr>
              <w:t>56.7 (± 13.93)</w:t>
            </w:r>
          </w:p>
        </w:tc>
      </w:tr>
      <w:tr w:rsidR="00F45CAF" w:rsidRPr="00E57CEC" w14:paraId="7120A310" w14:textId="77777777" w:rsidTr="002776EE">
        <w:trPr>
          <w:trHeight w:val="320"/>
        </w:trPr>
        <w:tc>
          <w:tcPr>
            <w:tcW w:w="4740" w:type="dxa"/>
            <w:shd w:val="clear" w:color="auto" w:fill="auto"/>
            <w:noWrap/>
            <w:hideMark/>
          </w:tcPr>
          <w:p w14:paraId="4BCEC9BF" w14:textId="77777777" w:rsidR="00F45CAF" w:rsidRPr="00E57CEC" w:rsidRDefault="00F45CAF" w:rsidP="002776EE">
            <w:pPr>
              <w:rPr>
                <w:rFonts w:ascii="Cambria" w:hAnsi="Cambria" w:cs="Arial"/>
              </w:rPr>
            </w:pPr>
            <w:proofErr w:type="spellStart"/>
            <w:r w:rsidRPr="00E57CEC">
              <w:rPr>
                <w:rFonts w:ascii="Cambria" w:hAnsi="Cambria" w:cs="Arial"/>
              </w:rPr>
              <w:t>Duration</w:t>
            </w:r>
            <w:proofErr w:type="spellEnd"/>
            <w:r w:rsidRPr="00E57CEC">
              <w:rPr>
                <w:rFonts w:ascii="Cambria" w:hAnsi="Cambria" w:cs="Arial"/>
              </w:rPr>
              <w:t xml:space="preserve"> of </w:t>
            </w:r>
            <w:proofErr w:type="spellStart"/>
            <w:r w:rsidRPr="00E57CEC">
              <w:rPr>
                <w:rFonts w:ascii="Cambria" w:hAnsi="Cambria" w:cs="Arial"/>
              </w:rPr>
              <w:t>hospitalisation</w:t>
            </w:r>
            <w:proofErr w:type="spellEnd"/>
            <w:r w:rsidRPr="00E57CEC">
              <w:rPr>
                <w:rFonts w:ascii="Cambria" w:hAnsi="Cambria" w:cs="Arial"/>
              </w:rPr>
              <w:t xml:space="preserve"> (</w:t>
            </w:r>
            <w:proofErr w:type="spellStart"/>
            <w:r w:rsidRPr="00E57CEC">
              <w:rPr>
                <w:rFonts w:ascii="Cambria" w:hAnsi="Cambria" w:cs="Arial"/>
              </w:rPr>
              <w:t>days</w:t>
            </w:r>
            <w:proofErr w:type="spellEnd"/>
            <w:r w:rsidRPr="00E57CEC">
              <w:rPr>
                <w:rFonts w:ascii="Cambria" w:hAnsi="Cambria" w:cs="Arial"/>
              </w:rPr>
              <w:t>)</w:t>
            </w:r>
          </w:p>
        </w:tc>
        <w:tc>
          <w:tcPr>
            <w:tcW w:w="3220" w:type="dxa"/>
            <w:shd w:val="clear" w:color="auto" w:fill="auto"/>
            <w:noWrap/>
            <w:hideMark/>
          </w:tcPr>
          <w:p w14:paraId="571E9514" w14:textId="77777777" w:rsidR="00F45CAF" w:rsidRPr="00E57CEC" w:rsidRDefault="00F45CAF" w:rsidP="002776EE">
            <w:pPr>
              <w:rPr>
                <w:rFonts w:ascii="Cambria" w:hAnsi="Cambria" w:cs="Arial"/>
              </w:rPr>
            </w:pPr>
            <w:r w:rsidRPr="00E57CEC">
              <w:rPr>
                <w:rFonts w:ascii="Cambria" w:hAnsi="Cambria" w:cs="Arial"/>
              </w:rPr>
              <w:t>13 (</w:t>
            </w:r>
            <w:proofErr w:type="spellStart"/>
            <w:r w:rsidRPr="00E57CEC">
              <w:rPr>
                <w:rFonts w:ascii="Cambria" w:hAnsi="Cambria" w:cs="Arial"/>
              </w:rPr>
              <w:t>range</w:t>
            </w:r>
            <w:proofErr w:type="spellEnd"/>
            <w:r w:rsidRPr="00E57CEC">
              <w:rPr>
                <w:rFonts w:ascii="Cambria" w:hAnsi="Cambria" w:cs="Arial"/>
              </w:rPr>
              <w:t xml:space="preserve"> 7-17)</w:t>
            </w:r>
          </w:p>
        </w:tc>
        <w:tc>
          <w:tcPr>
            <w:tcW w:w="3820" w:type="dxa"/>
            <w:shd w:val="clear" w:color="auto" w:fill="auto"/>
            <w:noWrap/>
            <w:hideMark/>
          </w:tcPr>
          <w:p w14:paraId="4B4A014C" w14:textId="77777777" w:rsidR="00F45CAF" w:rsidRPr="00E57CEC" w:rsidRDefault="00F45CAF" w:rsidP="002776EE">
            <w:pPr>
              <w:rPr>
                <w:rFonts w:ascii="Cambria" w:hAnsi="Cambria" w:cs="Arial"/>
              </w:rPr>
            </w:pPr>
            <w:r w:rsidRPr="00E57CEC">
              <w:rPr>
                <w:rFonts w:ascii="Cambria" w:hAnsi="Cambria" w:cs="Arial"/>
              </w:rPr>
              <w:t>7 (</w:t>
            </w:r>
            <w:proofErr w:type="spellStart"/>
            <w:r w:rsidRPr="00E57CEC">
              <w:rPr>
                <w:rFonts w:ascii="Cambria" w:hAnsi="Cambria" w:cs="Arial"/>
              </w:rPr>
              <w:t>range</w:t>
            </w:r>
            <w:proofErr w:type="spellEnd"/>
            <w:r w:rsidRPr="00E57CEC">
              <w:rPr>
                <w:rFonts w:ascii="Cambria" w:hAnsi="Cambria" w:cs="Arial"/>
              </w:rPr>
              <w:t xml:space="preserve"> 4-10)</w:t>
            </w:r>
          </w:p>
        </w:tc>
      </w:tr>
      <w:tr w:rsidR="00F45CAF" w:rsidRPr="00E57CEC" w14:paraId="527DD4E9" w14:textId="77777777" w:rsidTr="002776EE">
        <w:trPr>
          <w:trHeight w:val="320"/>
        </w:trPr>
        <w:tc>
          <w:tcPr>
            <w:tcW w:w="4740" w:type="dxa"/>
            <w:shd w:val="clear" w:color="auto" w:fill="auto"/>
            <w:noWrap/>
            <w:hideMark/>
          </w:tcPr>
          <w:p w14:paraId="0C1C9095" w14:textId="77777777" w:rsidR="00F45CAF" w:rsidRPr="00EE31F1" w:rsidRDefault="00F45CAF" w:rsidP="002776EE">
            <w:pPr>
              <w:rPr>
                <w:rFonts w:ascii="Cambria" w:hAnsi="Cambria" w:cs="Arial"/>
                <w:lang w:val="en-US"/>
              </w:rPr>
            </w:pPr>
            <w:r w:rsidRPr="00EE31F1">
              <w:rPr>
                <w:rFonts w:ascii="Cambria" w:hAnsi="Cambria" w:cs="Arial"/>
                <w:lang w:val="en-US"/>
              </w:rPr>
              <w:t>Oral endotracheal intubation (n. patients)</w:t>
            </w:r>
          </w:p>
        </w:tc>
        <w:tc>
          <w:tcPr>
            <w:tcW w:w="3220" w:type="dxa"/>
            <w:shd w:val="clear" w:color="auto" w:fill="auto"/>
            <w:noWrap/>
            <w:hideMark/>
          </w:tcPr>
          <w:p w14:paraId="3EE349AB" w14:textId="77777777" w:rsidR="00F45CAF" w:rsidRPr="00E57CEC" w:rsidRDefault="00F45CAF" w:rsidP="002776EE">
            <w:pPr>
              <w:rPr>
                <w:rFonts w:ascii="Cambria" w:hAnsi="Cambria" w:cs="Arial"/>
              </w:rPr>
            </w:pPr>
            <w:r w:rsidRPr="00E57CEC">
              <w:rPr>
                <w:rFonts w:ascii="Cambria" w:hAnsi="Cambria" w:cs="Arial"/>
              </w:rPr>
              <w:t>4/34 (12%)</w:t>
            </w:r>
          </w:p>
        </w:tc>
        <w:tc>
          <w:tcPr>
            <w:tcW w:w="3820" w:type="dxa"/>
            <w:shd w:val="clear" w:color="auto" w:fill="auto"/>
            <w:noWrap/>
            <w:hideMark/>
          </w:tcPr>
          <w:p w14:paraId="308DFF09" w14:textId="77777777" w:rsidR="00F45CAF" w:rsidRPr="00E57CEC" w:rsidRDefault="00F45CAF" w:rsidP="002776EE">
            <w:pPr>
              <w:rPr>
                <w:rFonts w:ascii="Cambria" w:hAnsi="Cambria" w:cs="Arial"/>
              </w:rPr>
            </w:pPr>
            <w:r w:rsidRPr="00E57CEC">
              <w:rPr>
                <w:rFonts w:ascii="Cambria" w:hAnsi="Cambria" w:cs="Arial"/>
              </w:rPr>
              <w:t>6/34 (18%)</w:t>
            </w:r>
          </w:p>
        </w:tc>
      </w:tr>
      <w:tr w:rsidR="00F45CAF" w:rsidRPr="00E57CEC" w14:paraId="21A7E9A8" w14:textId="77777777" w:rsidTr="002776EE">
        <w:trPr>
          <w:trHeight w:val="320"/>
        </w:trPr>
        <w:tc>
          <w:tcPr>
            <w:tcW w:w="4740" w:type="dxa"/>
            <w:shd w:val="clear" w:color="auto" w:fill="auto"/>
            <w:noWrap/>
            <w:hideMark/>
          </w:tcPr>
          <w:p w14:paraId="405DC3EA" w14:textId="77777777" w:rsidR="00F45CAF" w:rsidRPr="00E57CEC" w:rsidRDefault="00F45CAF" w:rsidP="002776EE">
            <w:pPr>
              <w:rPr>
                <w:rFonts w:ascii="Cambria" w:hAnsi="Cambria" w:cs="Arial"/>
              </w:rPr>
            </w:pPr>
            <w:proofErr w:type="spellStart"/>
            <w:r w:rsidRPr="00E57CEC">
              <w:rPr>
                <w:rFonts w:ascii="Cambria" w:hAnsi="Cambria" w:cs="Arial"/>
              </w:rPr>
              <w:t>Tracheostomy</w:t>
            </w:r>
            <w:proofErr w:type="spellEnd"/>
          </w:p>
        </w:tc>
        <w:tc>
          <w:tcPr>
            <w:tcW w:w="3220" w:type="dxa"/>
            <w:shd w:val="clear" w:color="auto" w:fill="auto"/>
            <w:noWrap/>
            <w:hideMark/>
          </w:tcPr>
          <w:p w14:paraId="6831B69B" w14:textId="77777777" w:rsidR="00F45CAF" w:rsidRPr="00E57CEC" w:rsidRDefault="00F45CAF" w:rsidP="002776EE">
            <w:pPr>
              <w:rPr>
                <w:rFonts w:ascii="Cambria" w:hAnsi="Cambria" w:cs="Arial"/>
              </w:rPr>
            </w:pPr>
            <w:r w:rsidRPr="00E57CEC">
              <w:rPr>
                <w:rFonts w:ascii="Cambria" w:hAnsi="Cambria" w:cs="Arial"/>
              </w:rPr>
              <w:t>8/34 (24%)</w:t>
            </w:r>
          </w:p>
        </w:tc>
        <w:tc>
          <w:tcPr>
            <w:tcW w:w="3820" w:type="dxa"/>
            <w:shd w:val="clear" w:color="auto" w:fill="auto"/>
            <w:noWrap/>
            <w:hideMark/>
          </w:tcPr>
          <w:p w14:paraId="563746E7" w14:textId="77777777" w:rsidR="00F45CAF" w:rsidRPr="00E57CEC" w:rsidRDefault="00F45CAF" w:rsidP="002776EE">
            <w:pPr>
              <w:rPr>
                <w:rFonts w:ascii="Cambria" w:hAnsi="Cambria" w:cs="Arial"/>
              </w:rPr>
            </w:pPr>
            <w:r w:rsidRPr="00E57CEC">
              <w:rPr>
                <w:rFonts w:ascii="Cambria" w:hAnsi="Cambria" w:cs="Arial"/>
              </w:rPr>
              <w:t>1/34 (3%)</w:t>
            </w:r>
          </w:p>
        </w:tc>
      </w:tr>
      <w:tr w:rsidR="00F45CAF" w:rsidRPr="00E57CEC" w14:paraId="49C3AF45" w14:textId="77777777" w:rsidTr="002776EE">
        <w:trPr>
          <w:trHeight w:val="320"/>
        </w:trPr>
        <w:tc>
          <w:tcPr>
            <w:tcW w:w="4740" w:type="dxa"/>
            <w:shd w:val="clear" w:color="auto" w:fill="auto"/>
            <w:noWrap/>
            <w:hideMark/>
          </w:tcPr>
          <w:p w14:paraId="41BB8E6C" w14:textId="77777777" w:rsidR="00F45CAF" w:rsidRPr="00E57CEC" w:rsidRDefault="00F45CAF" w:rsidP="002776EE">
            <w:pPr>
              <w:rPr>
                <w:rFonts w:ascii="Cambria" w:hAnsi="Cambria" w:cs="Arial"/>
                <w:i/>
                <w:iCs/>
              </w:rPr>
            </w:pPr>
            <w:proofErr w:type="spellStart"/>
            <w:r w:rsidRPr="00E57CEC">
              <w:rPr>
                <w:rFonts w:ascii="Cambria" w:hAnsi="Cambria" w:cs="Arial"/>
                <w:i/>
                <w:iCs/>
              </w:rPr>
              <w:t>Presenting</w:t>
            </w:r>
            <w:proofErr w:type="spellEnd"/>
            <w:r w:rsidRPr="00E57CEC">
              <w:rPr>
                <w:rFonts w:ascii="Cambria" w:hAnsi="Cambria" w:cs="Arial"/>
                <w:i/>
                <w:iCs/>
              </w:rPr>
              <w:t xml:space="preserve"> </w:t>
            </w:r>
            <w:proofErr w:type="spellStart"/>
            <w:r w:rsidRPr="00E57CEC">
              <w:rPr>
                <w:rFonts w:ascii="Cambria" w:hAnsi="Cambria" w:cs="Arial"/>
                <w:i/>
                <w:iCs/>
              </w:rPr>
              <w:t>symptoms</w:t>
            </w:r>
            <w:proofErr w:type="spellEnd"/>
          </w:p>
        </w:tc>
        <w:tc>
          <w:tcPr>
            <w:tcW w:w="3220" w:type="dxa"/>
            <w:shd w:val="clear" w:color="auto" w:fill="auto"/>
            <w:noWrap/>
            <w:hideMark/>
          </w:tcPr>
          <w:p w14:paraId="5353AE82" w14:textId="77777777" w:rsidR="00F45CAF" w:rsidRPr="00E57CEC" w:rsidRDefault="00F45CAF" w:rsidP="002776EE">
            <w:pPr>
              <w:rPr>
                <w:rFonts w:ascii="Cambria" w:hAnsi="Cambria" w:cs="Arial"/>
                <w:i/>
                <w:iCs/>
              </w:rPr>
            </w:pPr>
          </w:p>
        </w:tc>
        <w:tc>
          <w:tcPr>
            <w:tcW w:w="3820" w:type="dxa"/>
            <w:shd w:val="clear" w:color="auto" w:fill="auto"/>
            <w:noWrap/>
            <w:hideMark/>
          </w:tcPr>
          <w:p w14:paraId="4C5A92EF" w14:textId="77777777" w:rsidR="00F45CAF" w:rsidRPr="00E57CEC" w:rsidRDefault="00F45CAF" w:rsidP="002776EE">
            <w:pPr>
              <w:rPr>
                <w:sz w:val="20"/>
                <w:szCs w:val="20"/>
              </w:rPr>
            </w:pPr>
          </w:p>
        </w:tc>
      </w:tr>
      <w:tr w:rsidR="00F45CAF" w:rsidRPr="00E57CEC" w14:paraId="13D180CB" w14:textId="77777777" w:rsidTr="002776EE">
        <w:trPr>
          <w:trHeight w:val="320"/>
        </w:trPr>
        <w:tc>
          <w:tcPr>
            <w:tcW w:w="4740" w:type="dxa"/>
            <w:shd w:val="clear" w:color="auto" w:fill="auto"/>
            <w:noWrap/>
            <w:hideMark/>
          </w:tcPr>
          <w:p w14:paraId="7327B8BD" w14:textId="77777777" w:rsidR="00F45CAF" w:rsidRPr="00E57CEC" w:rsidRDefault="00F45CAF" w:rsidP="002776EE">
            <w:pPr>
              <w:rPr>
                <w:rFonts w:ascii="Cambria" w:hAnsi="Cambria" w:cs="Arial"/>
              </w:rPr>
            </w:pPr>
            <w:r w:rsidRPr="00E57CEC">
              <w:rPr>
                <w:rFonts w:ascii="Cambria" w:hAnsi="Cambria" w:cs="Arial"/>
              </w:rPr>
              <w:t>Odynophagia</w:t>
            </w:r>
          </w:p>
        </w:tc>
        <w:tc>
          <w:tcPr>
            <w:tcW w:w="3220" w:type="dxa"/>
            <w:shd w:val="clear" w:color="auto" w:fill="auto"/>
            <w:noWrap/>
            <w:hideMark/>
          </w:tcPr>
          <w:p w14:paraId="55E72039" w14:textId="77777777" w:rsidR="00F45CAF" w:rsidRPr="00E57CEC" w:rsidRDefault="00F45CAF" w:rsidP="002776EE">
            <w:pPr>
              <w:rPr>
                <w:rFonts w:ascii="Cambria" w:hAnsi="Cambria" w:cs="Arial"/>
              </w:rPr>
            </w:pPr>
            <w:r w:rsidRPr="00E57CEC">
              <w:rPr>
                <w:rFonts w:ascii="Cambria" w:hAnsi="Cambria" w:cs="Arial"/>
              </w:rPr>
              <w:t>22 (65%)</w:t>
            </w:r>
          </w:p>
        </w:tc>
        <w:tc>
          <w:tcPr>
            <w:tcW w:w="3820" w:type="dxa"/>
            <w:shd w:val="clear" w:color="auto" w:fill="auto"/>
            <w:noWrap/>
            <w:hideMark/>
          </w:tcPr>
          <w:p w14:paraId="1ECC0466" w14:textId="77777777" w:rsidR="00F45CAF" w:rsidRPr="00E57CEC" w:rsidRDefault="00F45CAF" w:rsidP="002776EE">
            <w:pPr>
              <w:rPr>
                <w:rFonts w:ascii="Cambria" w:hAnsi="Cambria" w:cs="Arial"/>
              </w:rPr>
            </w:pPr>
            <w:r w:rsidRPr="00E57CEC">
              <w:rPr>
                <w:rFonts w:ascii="Cambria" w:hAnsi="Cambria" w:cs="Arial"/>
              </w:rPr>
              <w:t>17 (34%)</w:t>
            </w:r>
          </w:p>
        </w:tc>
      </w:tr>
      <w:tr w:rsidR="00F45CAF" w:rsidRPr="00E57CEC" w14:paraId="45EE74CD" w14:textId="77777777" w:rsidTr="002776EE">
        <w:trPr>
          <w:trHeight w:val="320"/>
        </w:trPr>
        <w:tc>
          <w:tcPr>
            <w:tcW w:w="4740" w:type="dxa"/>
            <w:shd w:val="clear" w:color="auto" w:fill="auto"/>
            <w:noWrap/>
            <w:hideMark/>
          </w:tcPr>
          <w:p w14:paraId="6746A703" w14:textId="77777777" w:rsidR="00F45CAF" w:rsidRPr="00E57CEC" w:rsidRDefault="00F45CAF" w:rsidP="002776EE">
            <w:pPr>
              <w:rPr>
                <w:rFonts w:ascii="Cambria" w:hAnsi="Cambria" w:cs="Arial"/>
              </w:rPr>
            </w:pPr>
            <w:r w:rsidRPr="00E57CEC">
              <w:rPr>
                <w:rFonts w:ascii="Cambria" w:hAnsi="Cambria" w:cs="Arial"/>
              </w:rPr>
              <w:t>Dyspnea</w:t>
            </w:r>
          </w:p>
        </w:tc>
        <w:tc>
          <w:tcPr>
            <w:tcW w:w="3220" w:type="dxa"/>
            <w:shd w:val="clear" w:color="auto" w:fill="auto"/>
            <w:noWrap/>
            <w:hideMark/>
          </w:tcPr>
          <w:p w14:paraId="1C8211EE" w14:textId="77777777" w:rsidR="00F45CAF" w:rsidRPr="00E57CEC" w:rsidRDefault="00F45CAF" w:rsidP="002776EE">
            <w:pPr>
              <w:rPr>
                <w:rFonts w:ascii="Cambria" w:hAnsi="Cambria" w:cs="Arial"/>
              </w:rPr>
            </w:pPr>
            <w:r w:rsidRPr="00E57CEC">
              <w:rPr>
                <w:rFonts w:ascii="Cambria" w:hAnsi="Cambria" w:cs="Arial"/>
              </w:rPr>
              <w:t>8/34 (24%)</w:t>
            </w:r>
          </w:p>
        </w:tc>
        <w:tc>
          <w:tcPr>
            <w:tcW w:w="3820" w:type="dxa"/>
            <w:shd w:val="clear" w:color="auto" w:fill="auto"/>
            <w:noWrap/>
            <w:hideMark/>
          </w:tcPr>
          <w:p w14:paraId="44F6AA42" w14:textId="77777777" w:rsidR="00F45CAF" w:rsidRPr="00E57CEC" w:rsidRDefault="00F45CAF" w:rsidP="002776EE">
            <w:pPr>
              <w:rPr>
                <w:rFonts w:ascii="Cambria" w:hAnsi="Cambria" w:cs="Arial"/>
              </w:rPr>
            </w:pPr>
            <w:r w:rsidRPr="00E57CEC">
              <w:rPr>
                <w:rFonts w:ascii="Cambria" w:hAnsi="Cambria" w:cs="Arial"/>
              </w:rPr>
              <w:t>10/34 (29%)</w:t>
            </w:r>
          </w:p>
        </w:tc>
      </w:tr>
      <w:tr w:rsidR="00F45CAF" w:rsidRPr="00E57CEC" w14:paraId="59BC1428" w14:textId="77777777" w:rsidTr="002776EE">
        <w:trPr>
          <w:trHeight w:val="320"/>
        </w:trPr>
        <w:tc>
          <w:tcPr>
            <w:tcW w:w="4740" w:type="dxa"/>
            <w:shd w:val="clear" w:color="auto" w:fill="auto"/>
            <w:noWrap/>
            <w:hideMark/>
          </w:tcPr>
          <w:p w14:paraId="6803B99B" w14:textId="77777777" w:rsidR="00F45CAF" w:rsidRPr="00E57CEC" w:rsidRDefault="00F45CAF" w:rsidP="002776EE">
            <w:pPr>
              <w:rPr>
                <w:rFonts w:ascii="Cambria" w:hAnsi="Cambria" w:cs="Arial"/>
              </w:rPr>
            </w:pPr>
            <w:proofErr w:type="spellStart"/>
            <w:r w:rsidRPr="00E57CEC">
              <w:rPr>
                <w:rFonts w:ascii="Cambria" w:hAnsi="Cambria" w:cs="Arial"/>
              </w:rPr>
              <w:t>Dysphonia</w:t>
            </w:r>
            <w:proofErr w:type="spellEnd"/>
            <w:r w:rsidRPr="00E57CEC">
              <w:rPr>
                <w:rFonts w:ascii="Cambria" w:hAnsi="Cambria" w:cs="Arial"/>
              </w:rPr>
              <w:t xml:space="preserve"> </w:t>
            </w:r>
          </w:p>
        </w:tc>
        <w:tc>
          <w:tcPr>
            <w:tcW w:w="3220" w:type="dxa"/>
            <w:shd w:val="clear" w:color="auto" w:fill="auto"/>
            <w:noWrap/>
            <w:hideMark/>
          </w:tcPr>
          <w:p w14:paraId="71F4670B" w14:textId="77777777" w:rsidR="00F45CAF" w:rsidRPr="00E57CEC" w:rsidRDefault="00F45CAF" w:rsidP="002776EE">
            <w:pPr>
              <w:rPr>
                <w:rFonts w:ascii="Cambria" w:hAnsi="Cambria" w:cs="Arial"/>
              </w:rPr>
            </w:pPr>
            <w:r w:rsidRPr="00E57CEC">
              <w:rPr>
                <w:rFonts w:ascii="Cambria" w:hAnsi="Cambria" w:cs="Arial"/>
              </w:rPr>
              <w:t>7/34 (20%)</w:t>
            </w:r>
          </w:p>
        </w:tc>
        <w:tc>
          <w:tcPr>
            <w:tcW w:w="3820" w:type="dxa"/>
            <w:shd w:val="clear" w:color="auto" w:fill="auto"/>
            <w:noWrap/>
            <w:hideMark/>
          </w:tcPr>
          <w:p w14:paraId="4821F4E0" w14:textId="77777777" w:rsidR="00F45CAF" w:rsidRPr="00E57CEC" w:rsidRDefault="00F45CAF" w:rsidP="002776EE">
            <w:pPr>
              <w:rPr>
                <w:rFonts w:ascii="Cambria" w:hAnsi="Cambria" w:cs="Arial"/>
              </w:rPr>
            </w:pPr>
            <w:r w:rsidRPr="00E57CEC">
              <w:rPr>
                <w:rFonts w:ascii="Cambria" w:hAnsi="Cambria" w:cs="Arial"/>
              </w:rPr>
              <w:t>5/34 (15%)</w:t>
            </w:r>
          </w:p>
        </w:tc>
      </w:tr>
    </w:tbl>
    <w:p w14:paraId="1F5E3A1E" w14:textId="77777777" w:rsidR="00F45CAF" w:rsidRDefault="00F45CAF" w:rsidP="00F45CAF">
      <w:pPr>
        <w:pStyle w:val="Normale1"/>
        <w:rPr>
          <w:rFonts w:ascii="Times New Roman" w:hAnsi="Times New Roman" w:cs="Times New Roman"/>
          <w:color w:val="FF0000"/>
        </w:rPr>
      </w:pPr>
      <w:r>
        <w:rPr>
          <w:rFonts w:ascii="Times New Roman" w:hAnsi="Times New Roman" w:cs="Times New Roman"/>
          <w:color w:val="FF0000"/>
        </w:rPr>
        <w:t xml:space="preserve"> Table 3 </w:t>
      </w:r>
      <w:r w:rsidRPr="00E57CEC">
        <w:rPr>
          <w:rFonts w:ascii="Times New Roman" w:hAnsi="Times New Roman" w:cs="Times New Roman"/>
          <w:color w:val="FF0000"/>
        </w:rPr>
        <w:t xml:space="preserve">Epidemiologic, </w:t>
      </w:r>
      <w:proofErr w:type="spellStart"/>
      <w:r w:rsidRPr="00E57CEC">
        <w:rPr>
          <w:rFonts w:ascii="Times New Roman" w:hAnsi="Times New Roman" w:cs="Times New Roman"/>
          <w:color w:val="FF0000"/>
        </w:rPr>
        <w:t>antropometric</w:t>
      </w:r>
      <w:proofErr w:type="spellEnd"/>
      <w:r w:rsidRPr="00E57CEC">
        <w:rPr>
          <w:rFonts w:ascii="Times New Roman" w:hAnsi="Times New Roman" w:cs="Times New Roman"/>
          <w:color w:val="FF0000"/>
        </w:rPr>
        <w:t xml:space="preserve"> and clinical data of EAT-10+ and EAT-10− groups</w:t>
      </w:r>
    </w:p>
    <w:p w14:paraId="5A39D9B3" w14:textId="77777777" w:rsidR="00F45CAF" w:rsidRPr="00F45CAF" w:rsidRDefault="00F45CAF">
      <w:pPr>
        <w:rPr>
          <w:lang w:val="en-US"/>
        </w:rPr>
      </w:pPr>
    </w:p>
    <w:sectPr w:rsidR="00F45CAF" w:rsidRPr="00F45C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
    <w:altName w:val="Cambria"/>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AF"/>
    <w:rsid w:val="000E3E42"/>
    <w:rsid w:val="00F45C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6269"/>
  <w15:chartTrackingRefBased/>
  <w15:docId w15:val="{867E4419-34FC-C24B-A700-CD946870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5CA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rsid w:val="00F45CAF"/>
    <w:rPr>
      <w:rFonts w:ascii="Calibri" w:eastAsia="Calibri" w:hAnsi="Calibri" w:cs="Calibri"/>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1100</Words>
  <Characters>6341</Characters>
  <Application>Microsoft Office Word</Application>
  <DocSecurity>0</DocSecurity>
  <Lines>186</Lines>
  <Paragraphs>94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pezzoli</dc:creator>
  <cp:keywords/>
  <dc:description/>
  <cp:lastModifiedBy>lorenzo pezzoli</cp:lastModifiedBy>
  <cp:revision>1</cp:revision>
  <dcterms:created xsi:type="dcterms:W3CDTF">2023-02-11T18:26:00Z</dcterms:created>
  <dcterms:modified xsi:type="dcterms:W3CDTF">2023-02-11T18:27:00Z</dcterms:modified>
</cp:coreProperties>
</file>